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F6369" w14:textId="77777777" w:rsidR="001A4900" w:rsidRPr="009527FF" w:rsidRDefault="001A4900" w:rsidP="001A4900">
      <w:pPr>
        <w:jc w:val="center"/>
        <w:rPr>
          <w:sz w:val="32"/>
          <w:szCs w:val="32"/>
          <w:u w:val="single"/>
        </w:rPr>
      </w:pPr>
      <w:r w:rsidRPr="009527FF">
        <w:rPr>
          <w:noProof/>
          <w:sz w:val="32"/>
          <w:szCs w:val="32"/>
        </w:rPr>
        <w:drawing>
          <wp:inline distT="0" distB="0" distL="0" distR="0" wp14:anchorId="155CDAEC" wp14:editId="264754E5">
            <wp:extent cx="16002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14:paraId="0AB5A69D" w14:textId="77777777" w:rsidR="001A4900" w:rsidRPr="009527FF" w:rsidRDefault="001A4900" w:rsidP="001A4900">
      <w:pPr>
        <w:rPr>
          <w:rFonts w:ascii="Timok" w:hAnsi="Timok"/>
          <w:b/>
          <w:sz w:val="28"/>
          <w:szCs w:val="20"/>
          <w:u w:val="single"/>
        </w:rPr>
      </w:pPr>
    </w:p>
    <w:p w14:paraId="75C58510" w14:textId="77777777" w:rsidR="001A4900" w:rsidRPr="009527FF" w:rsidRDefault="001A4900" w:rsidP="001A4900">
      <w:pPr>
        <w:spacing w:line="360" w:lineRule="auto"/>
        <w:jc w:val="center"/>
        <w:rPr>
          <w:b/>
          <w:sz w:val="32"/>
          <w:szCs w:val="32"/>
          <w:u w:val="single"/>
        </w:rPr>
      </w:pPr>
      <w:r w:rsidRPr="009527FF">
        <w:rPr>
          <w:b/>
          <w:sz w:val="32"/>
          <w:szCs w:val="32"/>
          <w:u w:val="single"/>
        </w:rPr>
        <w:t>Б Ъ Л Г А Р С К А   А К А Д Е М И Я   Н А   Н А У К И Т Е</w:t>
      </w:r>
    </w:p>
    <w:p w14:paraId="358EA136" w14:textId="0F355A78" w:rsidR="001A4900" w:rsidRPr="009527FF" w:rsidRDefault="001A4900" w:rsidP="001A4900">
      <w:pPr>
        <w:spacing w:line="360" w:lineRule="auto"/>
        <w:jc w:val="center"/>
        <w:rPr>
          <w:i/>
          <w:color w:val="0563C1"/>
        </w:rPr>
      </w:pPr>
      <w:r w:rsidRPr="009527FF">
        <w:rPr>
          <w:i/>
        </w:rPr>
        <w:t>1040 София,</w:t>
      </w:r>
      <w:r w:rsidRPr="009527FF">
        <w:rPr>
          <w:i/>
        </w:rPr>
        <w:tab/>
        <w:t xml:space="preserve"> ул. </w:t>
      </w:r>
      <w:r w:rsidR="00A15776" w:rsidRPr="009527FF">
        <w:rPr>
          <w:i/>
        </w:rPr>
        <w:t>„</w:t>
      </w:r>
      <w:r w:rsidRPr="009527FF">
        <w:rPr>
          <w:i/>
        </w:rPr>
        <w:t>15 ноември” № 1</w:t>
      </w:r>
      <w:r w:rsidRPr="009527FF">
        <w:rPr>
          <w:i/>
        </w:rPr>
        <w:tab/>
      </w:r>
      <w:r w:rsidRPr="009527FF">
        <w:rPr>
          <w:rFonts w:ascii="Wingdings" w:hAnsi="Wingdings"/>
          <w:i/>
        </w:rPr>
        <w:t></w:t>
      </w:r>
      <w:r w:rsidRPr="009527FF">
        <w:rPr>
          <w:rFonts w:ascii="Wingdings" w:hAnsi="Wingdings"/>
          <w:i/>
        </w:rPr>
        <w:t></w:t>
      </w:r>
      <w:r w:rsidRPr="009527FF">
        <w:rPr>
          <w:i/>
        </w:rPr>
        <w:t>(+359 2 </w:t>
      </w:r>
      <w:r w:rsidR="00733DD2" w:rsidRPr="009527FF">
        <w:rPr>
          <w:i/>
        </w:rPr>
        <w:t>979 </w:t>
      </w:r>
      <w:r w:rsidRPr="009527FF">
        <w:rPr>
          <w:i/>
        </w:rPr>
        <w:t>52</w:t>
      </w:r>
      <w:r w:rsidR="00733DD2" w:rsidRPr="009527FF">
        <w:rPr>
          <w:i/>
        </w:rPr>
        <w:t> </w:t>
      </w:r>
      <w:r w:rsidRPr="009527FF">
        <w:rPr>
          <w:i/>
        </w:rPr>
        <w:t>03</w:t>
      </w:r>
      <w:r w:rsidR="00A15776" w:rsidRPr="009527FF">
        <w:rPr>
          <w:i/>
        </w:rPr>
        <w:t>)</w:t>
      </w:r>
      <w:r w:rsidR="00A15776" w:rsidRPr="009527FF">
        <w:rPr>
          <w:i/>
        </w:rPr>
        <w:tab/>
      </w:r>
      <w:hyperlink r:id="rId9" w:history="1">
        <w:r w:rsidRPr="009527FF">
          <w:rPr>
            <w:i/>
            <w:color w:val="0563C1"/>
          </w:rPr>
          <w:t>http://www.bas.bg</w:t>
        </w:r>
      </w:hyperlink>
    </w:p>
    <w:p w14:paraId="3BCB6BC2" w14:textId="77777777" w:rsidR="001A4900" w:rsidRPr="009527FF" w:rsidRDefault="001A4900" w:rsidP="001A4900">
      <w:pPr>
        <w:spacing w:after="200" w:line="276" w:lineRule="auto"/>
        <w:jc w:val="center"/>
        <w:rPr>
          <w:rFonts w:eastAsiaTheme="minorHAnsi"/>
          <w:b/>
          <w:sz w:val="32"/>
          <w:szCs w:val="32"/>
          <w:lang w:eastAsia="en-US"/>
        </w:rPr>
      </w:pPr>
    </w:p>
    <w:p w14:paraId="05F1D4D6" w14:textId="77777777" w:rsidR="00394067" w:rsidRPr="009527FF" w:rsidRDefault="00394067" w:rsidP="00394067">
      <w:pPr>
        <w:spacing w:after="200" w:line="276" w:lineRule="auto"/>
        <w:jc w:val="center"/>
        <w:rPr>
          <w:rFonts w:eastAsiaTheme="minorHAnsi"/>
          <w:b/>
          <w:sz w:val="32"/>
          <w:szCs w:val="32"/>
          <w:lang w:eastAsia="en-US"/>
        </w:rPr>
      </w:pPr>
      <w:r w:rsidRPr="009527FF">
        <w:rPr>
          <w:rFonts w:eastAsiaTheme="minorHAnsi"/>
          <w:b/>
          <w:sz w:val="32"/>
          <w:szCs w:val="32"/>
          <w:lang w:eastAsia="en-US"/>
        </w:rPr>
        <w:t>БЪЛГАРСКА АКАДЕМИЯ НА НАУКИТЕ</w:t>
      </w:r>
    </w:p>
    <w:p w14:paraId="297EC3AD" w14:textId="38382FF7" w:rsidR="004B439A" w:rsidRPr="009527FF" w:rsidRDefault="00BC5C21" w:rsidP="00AD45EA">
      <w:pPr>
        <w:tabs>
          <w:tab w:val="left" w:pos="6252"/>
        </w:tabs>
        <w:spacing w:line="276" w:lineRule="auto"/>
        <w:jc w:val="center"/>
        <w:rPr>
          <w:rFonts w:eastAsiaTheme="minorHAnsi"/>
          <w:b/>
          <w:lang w:eastAsia="en-US"/>
        </w:rPr>
      </w:pPr>
      <w:r w:rsidRPr="009527FF">
        <w:rPr>
          <w:rFonts w:eastAsiaTheme="minorHAnsi"/>
          <w:b/>
          <w:lang w:eastAsia="en-US"/>
        </w:rPr>
        <w:t>ОБЯВЯВА СВОБОДНА ПОЗИЦИЯ</w:t>
      </w:r>
    </w:p>
    <w:p w14:paraId="7F258495" w14:textId="77777777" w:rsidR="004B439A" w:rsidRPr="009527FF" w:rsidRDefault="00127EDD" w:rsidP="004B439A">
      <w:pPr>
        <w:tabs>
          <w:tab w:val="left" w:pos="6252"/>
        </w:tabs>
        <w:spacing w:line="276" w:lineRule="auto"/>
        <w:jc w:val="center"/>
        <w:rPr>
          <w:rFonts w:eastAsiaTheme="minorHAnsi"/>
          <w:b/>
          <w:lang w:eastAsia="en-US"/>
        </w:rPr>
      </w:pPr>
      <w:r w:rsidRPr="009527FF">
        <w:rPr>
          <w:rFonts w:eastAsiaTheme="minorHAnsi"/>
          <w:b/>
          <w:lang w:eastAsia="en-US"/>
        </w:rPr>
        <w:t>ЗА</w:t>
      </w:r>
    </w:p>
    <w:p w14:paraId="49780E7B" w14:textId="01495F78" w:rsidR="000264D1" w:rsidRDefault="007B3FAC" w:rsidP="00127EDD">
      <w:pPr>
        <w:tabs>
          <w:tab w:val="left" w:pos="6252"/>
        </w:tabs>
        <w:spacing w:after="200" w:line="276" w:lineRule="auto"/>
        <w:jc w:val="center"/>
        <w:rPr>
          <w:rFonts w:eastAsiaTheme="minorHAnsi"/>
          <w:b/>
          <w:lang w:eastAsia="en-US"/>
        </w:rPr>
      </w:pPr>
      <w:r w:rsidRPr="009527FF">
        <w:rPr>
          <w:rFonts w:eastAsiaTheme="minorHAnsi"/>
          <w:b/>
          <w:lang w:eastAsia="en-US"/>
        </w:rPr>
        <w:t>EКСПЕРТ</w:t>
      </w:r>
    </w:p>
    <w:p w14:paraId="5D5C45EF" w14:textId="5151C825" w:rsidR="00394067" w:rsidRPr="009527FF" w:rsidRDefault="007B3FAC" w:rsidP="00127EDD">
      <w:pPr>
        <w:tabs>
          <w:tab w:val="left" w:pos="6252"/>
        </w:tabs>
        <w:spacing w:after="200" w:line="276" w:lineRule="auto"/>
        <w:jc w:val="center"/>
        <w:rPr>
          <w:rFonts w:eastAsiaTheme="minorHAnsi"/>
          <w:b/>
          <w:lang w:eastAsia="en-US"/>
        </w:rPr>
      </w:pPr>
      <w:r w:rsidRPr="009527FF">
        <w:rPr>
          <w:rFonts w:eastAsiaTheme="minorHAnsi"/>
          <w:b/>
          <w:lang w:eastAsia="en-US"/>
        </w:rPr>
        <w:t>ПО ОЦЕНКА НА ВЪЗДЕЙСТВИЕТО НА ОКОЛНАТА СРЕДА</w:t>
      </w:r>
    </w:p>
    <w:p w14:paraId="37F3BAC4" w14:textId="77777777" w:rsidR="00127EDD" w:rsidRPr="009527FF" w:rsidRDefault="00972BF3" w:rsidP="009527FF">
      <w:pPr>
        <w:pStyle w:val="Heading1"/>
      </w:pPr>
      <w:r w:rsidRPr="009527FF">
        <w:t>Основни функции и отговорности на експерта:</w:t>
      </w:r>
    </w:p>
    <w:p w14:paraId="1C50BBFC" w14:textId="7CA031D3" w:rsidR="007B3FAC" w:rsidRPr="009527FF" w:rsidRDefault="007B3FAC" w:rsidP="0034595B">
      <w:pPr>
        <w:pStyle w:val="ListParagraph"/>
        <w:numPr>
          <w:ilvl w:val="0"/>
          <w:numId w:val="18"/>
        </w:numPr>
        <w:tabs>
          <w:tab w:val="left" w:pos="6252"/>
        </w:tabs>
        <w:spacing w:after="200" w:line="264" w:lineRule="auto"/>
        <w:jc w:val="both"/>
        <w:rPr>
          <w:rStyle w:val="FontStyle22"/>
          <w:rFonts w:eastAsia="Trebuchet MS"/>
          <w:sz w:val="24"/>
          <w:szCs w:val="24"/>
        </w:rPr>
      </w:pPr>
      <w:r w:rsidRPr="009527FF">
        <w:rPr>
          <w:rStyle w:val="FontStyle22"/>
          <w:rFonts w:eastAsia="Trebuchet MS"/>
          <w:sz w:val="24"/>
          <w:szCs w:val="24"/>
        </w:rPr>
        <w:t>Изготвя оценка и съгласува подготвяните за обявяване пакет</w:t>
      </w:r>
      <w:r w:rsidR="00431DB4" w:rsidRPr="009527FF">
        <w:rPr>
          <w:rStyle w:val="FontStyle22"/>
          <w:rFonts w:eastAsia="Trebuchet MS"/>
          <w:sz w:val="24"/>
          <w:szCs w:val="24"/>
        </w:rPr>
        <w:t xml:space="preserve">и от </w:t>
      </w:r>
      <w:r w:rsidRPr="009527FF">
        <w:rPr>
          <w:rStyle w:val="FontStyle22"/>
          <w:rFonts w:eastAsia="Trebuchet MS"/>
          <w:sz w:val="24"/>
          <w:szCs w:val="24"/>
        </w:rPr>
        <w:t xml:space="preserve">документи по процедури за предоставяне на средства на конкретни крайни получатели или крайни получатели чрез подбор на предложения за </w:t>
      </w:r>
      <w:r w:rsidR="00431DB4" w:rsidRPr="009527FF">
        <w:rPr>
          <w:rStyle w:val="FontStyle22"/>
          <w:rFonts w:eastAsia="Trebuchet MS"/>
          <w:sz w:val="24"/>
          <w:szCs w:val="24"/>
        </w:rPr>
        <w:t>съвместимост с принципа за „ненанасяне на значителни вреди“, представляващ хоризонтален принцип на МВУ съгласно чл. 5, пар. 2 от Регламент (ЕС) 2021/241.</w:t>
      </w:r>
    </w:p>
    <w:p w14:paraId="604870A9" w14:textId="77777777" w:rsidR="00BC0125" w:rsidRPr="009527FF" w:rsidRDefault="00BC0125" w:rsidP="0034595B">
      <w:pPr>
        <w:pStyle w:val="ListParagraph"/>
        <w:numPr>
          <w:ilvl w:val="0"/>
          <w:numId w:val="18"/>
        </w:numPr>
        <w:tabs>
          <w:tab w:val="left" w:pos="6252"/>
        </w:tabs>
        <w:spacing w:after="200" w:line="264" w:lineRule="auto"/>
        <w:jc w:val="both"/>
        <w:rPr>
          <w:rStyle w:val="FontStyle22"/>
          <w:rFonts w:eastAsia="Trebuchet MS"/>
          <w:sz w:val="24"/>
          <w:szCs w:val="24"/>
        </w:rPr>
      </w:pPr>
      <w:r w:rsidRPr="009527FF">
        <w:rPr>
          <w:rStyle w:val="FontStyle22"/>
          <w:rFonts w:eastAsia="Trebuchet MS"/>
          <w:sz w:val="24"/>
          <w:szCs w:val="24"/>
        </w:rPr>
        <w:t xml:space="preserve">Проверява и съгласува съответствието на мярката с техническите насоки „Ненанасяне на значителни вреди“ (2021/C58/01), критериите за допустимост за представяне на проектни предложения дали изключват следния списък от дейности и активи: </w:t>
      </w:r>
    </w:p>
    <w:p w14:paraId="5616F37C" w14:textId="6B41585F" w:rsidR="00BC0125" w:rsidRPr="009527FF" w:rsidRDefault="00BC0125" w:rsidP="00A300A0">
      <w:pPr>
        <w:pStyle w:val="ListParagraph"/>
        <w:numPr>
          <w:ilvl w:val="0"/>
          <w:numId w:val="21"/>
        </w:numPr>
        <w:tabs>
          <w:tab w:val="left" w:pos="6252"/>
        </w:tabs>
        <w:spacing w:after="200" w:line="264" w:lineRule="auto"/>
        <w:ind w:left="1094" w:hanging="357"/>
        <w:jc w:val="both"/>
        <w:rPr>
          <w:rStyle w:val="FontStyle22"/>
          <w:rFonts w:eastAsia="Trebuchet MS"/>
          <w:sz w:val="24"/>
          <w:szCs w:val="24"/>
        </w:rPr>
      </w:pPr>
      <w:r w:rsidRPr="009527FF">
        <w:rPr>
          <w:rStyle w:val="FontStyle22"/>
          <w:rFonts w:eastAsia="Trebuchet MS"/>
          <w:sz w:val="24"/>
          <w:szCs w:val="24"/>
        </w:rPr>
        <w:t>дейностите и активите, свързани с изкопаеми горива, включително използване надолу по веригата;</w:t>
      </w:r>
    </w:p>
    <w:p w14:paraId="4987D20F" w14:textId="44E83610" w:rsidR="00BC0125" w:rsidRPr="009527FF" w:rsidRDefault="00BC0125" w:rsidP="00A300A0">
      <w:pPr>
        <w:pStyle w:val="ListParagraph"/>
        <w:numPr>
          <w:ilvl w:val="0"/>
          <w:numId w:val="21"/>
        </w:numPr>
        <w:tabs>
          <w:tab w:val="left" w:pos="6252"/>
        </w:tabs>
        <w:spacing w:after="200" w:line="264" w:lineRule="auto"/>
        <w:ind w:left="1094" w:hanging="357"/>
        <w:jc w:val="both"/>
        <w:rPr>
          <w:rStyle w:val="FontStyle22"/>
          <w:rFonts w:eastAsia="Trebuchet MS"/>
          <w:sz w:val="24"/>
          <w:szCs w:val="24"/>
        </w:rPr>
      </w:pPr>
      <w:r w:rsidRPr="009527FF">
        <w:rPr>
          <w:rStyle w:val="FontStyle22"/>
          <w:rFonts w:eastAsia="Trebuchet MS"/>
          <w:sz w:val="24"/>
          <w:szCs w:val="24"/>
        </w:rPr>
        <w:t xml:space="preserve">дейностите и активите по схемата на ЕС за търговия с емисии, при които прогнозните емисии на парникови газове не са по-ниски от съответните референтни стойности; </w:t>
      </w:r>
    </w:p>
    <w:p w14:paraId="7A926682" w14:textId="41CE69F0" w:rsidR="00BC0125" w:rsidRPr="009527FF" w:rsidRDefault="00BC0125" w:rsidP="00A300A0">
      <w:pPr>
        <w:pStyle w:val="ListParagraph"/>
        <w:numPr>
          <w:ilvl w:val="0"/>
          <w:numId w:val="21"/>
        </w:numPr>
        <w:tabs>
          <w:tab w:val="left" w:pos="6252"/>
        </w:tabs>
        <w:spacing w:after="200" w:line="264" w:lineRule="auto"/>
        <w:ind w:left="1094" w:hanging="357"/>
        <w:jc w:val="both"/>
        <w:rPr>
          <w:rStyle w:val="FontStyle22"/>
          <w:rFonts w:eastAsia="Trebuchet MS"/>
          <w:sz w:val="24"/>
          <w:szCs w:val="24"/>
        </w:rPr>
      </w:pPr>
      <w:r w:rsidRPr="009527FF">
        <w:rPr>
          <w:rStyle w:val="FontStyle22"/>
          <w:rFonts w:eastAsia="Trebuchet MS"/>
          <w:sz w:val="24"/>
          <w:szCs w:val="24"/>
        </w:rPr>
        <w:t xml:space="preserve">дейностите и активите, свързани със сметища, инсталации за изгаряне на отпадъци и заводи за механично-биологично третиране и </w:t>
      </w:r>
    </w:p>
    <w:p w14:paraId="5D7379FE" w14:textId="12A2DCD0" w:rsidR="00BC0125" w:rsidRPr="009527FF" w:rsidRDefault="00BC0125" w:rsidP="00A300A0">
      <w:pPr>
        <w:pStyle w:val="ListParagraph"/>
        <w:numPr>
          <w:ilvl w:val="0"/>
          <w:numId w:val="21"/>
        </w:numPr>
        <w:tabs>
          <w:tab w:val="left" w:pos="6252"/>
        </w:tabs>
        <w:spacing w:after="200" w:line="264" w:lineRule="auto"/>
        <w:ind w:left="1094" w:hanging="357"/>
        <w:jc w:val="both"/>
        <w:rPr>
          <w:rStyle w:val="FontStyle22"/>
          <w:rFonts w:eastAsia="Trebuchet MS"/>
          <w:sz w:val="24"/>
          <w:szCs w:val="24"/>
        </w:rPr>
      </w:pPr>
      <w:r w:rsidRPr="009527FF">
        <w:rPr>
          <w:rStyle w:val="FontStyle22"/>
          <w:rFonts w:eastAsia="Trebuchet MS"/>
          <w:sz w:val="24"/>
          <w:szCs w:val="24"/>
        </w:rPr>
        <w:t xml:space="preserve">дейностите и активите, при които дългосрочното обезвреждане на отпадъци може да причини вреда на околната среда; </w:t>
      </w:r>
    </w:p>
    <w:p w14:paraId="321BED5A" w14:textId="77777777" w:rsidR="00BC0125" w:rsidRPr="009527FF" w:rsidRDefault="00BC0125" w:rsidP="0034595B">
      <w:pPr>
        <w:pStyle w:val="ListParagraph"/>
        <w:numPr>
          <w:ilvl w:val="0"/>
          <w:numId w:val="18"/>
        </w:numPr>
        <w:spacing w:line="264" w:lineRule="auto"/>
        <w:jc w:val="both"/>
        <w:rPr>
          <w:rStyle w:val="FontStyle22"/>
          <w:rFonts w:eastAsia="Trebuchet MS"/>
          <w:sz w:val="24"/>
          <w:szCs w:val="24"/>
        </w:rPr>
      </w:pPr>
      <w:r w:rsidRPr="009527FF">
        <w:rPr>
          <w:rStyle w:val="FontStyle22"/>
          <w:rFonts w:eastAsia="Trebuchet MS"/>
          <w:sz w:val="24"/>
          <w:szCs w:val="24"/>
        </w:rPr>
        <w:t>Участва в оценката за допустимост на проектните предложенията по инвестиция C2I2 да не са включени в посочения по-горе списък от дейности</w:t>
      </w:r>
    </w:p>
    <w:p w14:paraId="746D54A2" w14:textId="77777777" w:rsidR="00431DB4" w:rsidRPr="009527FF" w:rsidRDefault="00431DB4" w:rsidP="0034595B">
      <w:pPr>
        <w:pStyle w:val="ListParagraph"/>
        <w:numPr>
          <w:ilvl w:val="0"/>
          <w:numId w:val="18"/>
        </w:numPr>
        <w:spacing w:line="264" w:lineRule="auto"/>
        <w:ind w:left="714" w:hanging="357"/>
        <w:contextualSpacing w:val="0"/>
        <w:jc w:val="both"/>
        <w:rPr>
          <w:rStyle w:val="FontStyle22"/>
          <w:rFonts w:eastAsia="Trebuchet MS"/>
          <w:sz w:val="24"/>
          <w:szCs w:val="24"/>
        </w:rPr>
      </w:pPr>
      <w:r w:rsidRPr="009527FF">
        <w:rPr>
          <w:rStyle w:val="FontStyle22"/>
          <w:rFonts w:eastAsia="Trebuchet MS"/>
          <w:sz w:val="24"/>
          <w:szCs w:val="24"/>
        </w:rPr>
        <w:t xml:space="preserve">Участва в оценката за допустимост на проектните предложенията по инвестиция C2I2 като прави проверка за приемливост на самооценката на кандидата за планираните дейности, които са допустими за финансиране само, ако спазват принципа за „ненанасяне на значителни вреди“ по отношение на всяка от шестте екологични цели, определени в член 9 на Регламент (ЕС) 2020/852 за създаване на рамка за улесняване на устойчивите инвестиции  и за изменение на Регламент (ЕС) 2019/2088 („регламент </w:t>
      </w:r>
      <w:r w:rsidRPr="009527FF">
        <w:rPr>
          <w:rStyle w:val="FontStyle22"/>
          <w:rFonts w:eastAsia="Trebuchet MS"/>
          <w:sz w:val="24"/>
          <w:szCs w:val="24"/>
        </w:rPr>
        <w:lastRenderedPageBreak/>
        <w:t xml:space="preserve">за таксономията“), а именно: а) смекчаване на изменението на климата; б) адаптиране към изменението на климата; в) устойчиво използване и опазване на водните и морските ресурси; г) преход към кръгова икономика; д) предотвратяване и контрол на замърсяването; е) защита и възстановяване на водното биоразнообразие и на водните екосистеми; в съответствие с Техническите насоки на ЕК „Ненанасяне на значителни вреди“ (2021/C58/01); </w:t>
      </w:r>
    </w:p>
    <w:p w14:paraId="2154BADF" w14:textId="28A476B9" w:rsidR="00431DB4" w:rsidRPr="009527FF" w:rsidRDefault="00BC0125" w:rsidP="00A15776">
      <w:pPr>
        <w:pStyle w:val="ListParagraph"/>
        <w:numPr>
          <w:ilvl w:val="0"/>
          <w:numId w:val="18"/>
        </w:numPr>
        <w:tabs>
          <w:tab w:val="left" w:pos="6252"/>
        </w:tabs>
        <w:spacing w:after="200" w:line="264" w:lineRule="auto"/>
        <w:jc w:val="both"/>
        <w:rPr>
          <w:rStyle w:val="FontStyle22"/>
          <w:rFonts w:eastAsia="Trebuchet MS"/>
          <w:sz w:val="24"/>
          <w:szCs w:val="24"/>
        </w:rPr>
      </w:pPr>
      <w:r w:rsidRPr="009527FF">
        <w:rPr>
          <w:rStyle w:val="FontStyle22"/>
          <w:rFonts w:eastAsia="Trebuchet MS"/>
          <w:sz w:val="24"/>
          <w:szCs w:val="24"/>
        </w:rPr>
        <w:t xml:space="preserve">Проверява за приемливост на самооценката на </w:t>
      </w:r>
      <w:r w:rsidR="009527FF" w:rsidRPr="009527FF">
        <w:rPr>
          <w:rStyle w:val="FontStyle22"/>
          <w:rFonts w:eastAsia="Trebuchet MS"/>
          <w:sz w:val="24"/>
          <w:szCs w:val="24"/>
        </w:rPr>
        <w:t>крайните</w:t>
      </w:r>
      <w:r w:rsidRPr="009527FF">
        <w:rPr>
          <w:rStyle w:val="FontStyle22"/>
          <w:rFonts w:eastAsia="Trebuchet MS"/>
          <w:sz w:val="24"/>
          <w:szCs w:val="24"/>
        </w:rPr>
        <w:t xml:space="preserve"> получатели за изпълнените дейности, които са финансирани, дали спазват принципа за „ненанасяне на значителни вреди“ по отношение на всяка от шестте екологични цели, определени в член 9 на Регламент (ЕС) 2020/852 за създаване на рамка за улесняване на устойчивите инвестиции  и за изменение на Регламент (ЕС) 2019/2088 („регламент за таксономията“),</w:t>
      </w:r>
    </w:p>
    <w:p w14:paraId="4A91C5C4" w14:textId="77777777" w:rsidR="00AD45EA" w:rsidRPr="009527FF" w:rsidRDefault="00AD45EA" w:rsidP="00A15776">
      <w:pPr>
        <w:pStyle w:val="ListParagraph"/>
        <w:numPr>
          <w:ilvl w:val="0"/>
          <w:numId w:val="18"/>
        </w:numPr>
        <w:tabs>
          <w:tab w:val="left" w:pos="6252"/>
        </w:tabs>
        <w:spacing w:after="200" w:line="264" w:lineRule="auto"/>
        <w:jc w:val="both"/>
        <w:rPr>
          <w:rStyle w:val="FontStyle22"/>
          <w:rFonts w:eastAsia="Trebuchet MS"/>
          <w:sz w:val="24"/>
          <w:szCs w:val="24"/>
        </w:rPr>
      </w:pPr>
      <w:r w:rsidRPr="009527FF">
        <w:rPr>
          <w:rStyle w:val="FontStyle22"/>
          <w:rFonts w:eastAsia="Trebuchet MS"/>
          <w:sz w:val="24"/>
          <w:szCs w:val="24"/>
        </w:rPr>
        <w:t xml:space="preserve">Подпомага дейността на Ръководителя на </w:t>
      </w:r>
      <w:r w:rsidR="00BC0125" w:rsidRPr="009527FF">
        <w:rPr>
          <w:rStyle w:val="FontStyle22"/>
          <w:rFonts w:eastAsia="Trebuchet MS"/>
          <w:sz w:val="24"/>
          <w:szCs w:val="24"/>
        </w:rPr>
        <w:t xml:space="preserve">СНД </w:t>
      </w:r>
      <w:r w:rsidRPr="009527FF">
        <w:rPr>
          <w:rStyle w:val="FontStyle22"/>
          <w:rFonts w:eastAsia="Trebuchet MS"/>
          <w:sz w:val="24"/>
          <w:szCs w:val="24"/>
        </w:rPr>
        <w:t xml:space="preserve"> при  дейностите по проекта и комуникацията с  институции във връзка с </w:t>
      </w:r>
      <w:r w:rsidR="00BC0125" w:rsidRPr="009527FF">
        <w:rPr>
          <w:rStyle w:val="FontStyle22"/>
          <w:rFonts w:eastAsia="Trebuchet MS"/>
          <w:sz w:val="24"/>
          <w:szCs w:val="24"/>
        </w:rPr>
        <w:t>областта си на експертиза</w:t>
      </w:r>
      <w:r w:rsidRPr="009527FF">
        <w:rPr>
          <w:rStyle w:val="FontStyle22"/>
          <w:rFonts w:eastAsia="Trebuchet MS"/>
          <w:sz w:val="24"/>
          <w:szCs w:val="24"/>
        </w:rPr>
        <w:t xml:space="preserve">. </w:t>
      </w:r>
    </w:p>
    <w:p w14:paraId="555CD85A" w14:textId="57D4E4F8" w:rsidR="00AD45EA" w:rsidRPr="009527FF" w:rsidRDefault="00AD45EA" w:rsidP="00A15776">
      <w:pPr>
        <w:pStyle w:val="ListParagraph"/>
        <w:numPr>
          <w:ilvl w:val="0"/>
          <w:numId w:val="18"/>
        </w:numPr>
        <w:tabs>
          <w:tab w:val="left" w:pos="6252"/>
        </w:tabs>
        <w:spacing w:after="200" w:line="264" w:lineRule="auto"/>
        <w:jc w:val="both"/>
        <w:rPr>
          <w:rStyle w:val="FontStyle22"/>
          <w:rFonts w:eastAsia="Trebuchet MS"/>
          <w:sz w:val="24"/>
          <w:szCs w:val="24"/>
        </w:rPr>
      </w:pPr>
      <w:r w:rsidRPr="009527FF">
        <w:rPr>
          <w:rStyle w:val="FontStyle22"/>
          <w:rFonts w:eastAsia="Trebuchet MS"/>
          <w:sz w:val="24"/>
          <w:szCs w:val="24"/>
        </w:rPr>
        <w:t>Осъществява контакти с длъжно</w:t>
      </w:r>
      <w:r w:rsidR="00FE2C39" w:rsidRPr="009527FF">
        <w:rPr>
          <w:rStyle w:val="FontStyle22"/>
          <w:rFonts w:eastAsia="Trebuchet MS"/>
          <w:sz w:val="24"/>
          <w:szCs w:val="24"/>
        </w:rPr>
        <w:t>стни лица и членовете на екипа</w:t>
      </w:r>
      <w:r w:rsidRPr="009527FF">
        <w:rPr>
          <w:rStyle w:val="FontStyle22"/>
          <w:rFonts w:eastAsia="Trebuchet MS"/>
          <w:sz w:val="24"/>
          <w:szCs w:val="24"/>
        </w:rPr>
        <w:t xml:space="preserve"> за </w:t>
      </w:r>
      <w:r w:rsidR="00FE2C39" w:rsidRPr="009527FF">
        <w:rPr>
          <w:rStyle w:val="FontStyle22"/>
          <w:rFonts w:eastAsia="Trebuchet MS"/>
          <w:sz w:val="24"/>
          <w:szCs w:val="24"/>
        </w:rPr>
        <w:t xml:space="preserve">наблюдение и докладване </w:t>
      </w:r>
      <w:r w:rsidRPr="009527FF">
        <w:rPr>
          <w:rStyle w:val="FontStyle22"/>
          <w:rFonts w:eastAsia="Trebuchet MS"/>
          <w:sz w:val="24"/>
          <w:szCs w:val="24"/>
        </w:rPr>
        <w:t xml:space="preserve">на проекта, като участва в </w:t>
      </w:r>
      <w:r w:rsidR="009527FF" w:rsidRPr="009527FF">
        <w:rPr>
          <w:rStyle w:val="FontStyle22"/>
          <w:rFonts w:eastAsia="Trebuchet MS"/>
          <w:sz w:val="24"/>
          <w:szCs w:val="24"/>
        </w:rPr>
        <w:t>изготвяне</w:t>
      </w:r>
      <w:r w:rsidRPr="009527FF">
        <w:rPr>
          <w:rStyle w:val="FontStyle22"/>
          <w:rFonts w:eastAsia="Trebuchet MS"/>
          <w:sz w:val="24"/>
          <w:szCs w:val="24"/>
        </w:rPr>
        <w:t xml:space="preserve"> на съответната информация и я изпраща по електронн</w:t>
      </w:r>
      <w:r w:rsidR="009527FF" w:rsidRPr="009527FF">
        <w:rPr>
          <w:rStyle w:val="FontStyle22"/>
          <w:rFonts w:eastAsia="Trebuchet MS"/>
          <w:sz w:val="24"/>
          <w:szCs w:val="24"/>
        </w:rPr>
        <w:t xml:space="preserve">и канали </w:t>
      </w:r>
      <w:r w:rsidRPr="009527FF">
        <w:rPr>
          <w:rStyle w:val="FontStyle22"/>
          <w:rFonts w:eastAsia="Trebuchet MS"/>
          <w:sz w:val="24"/>
          <w:szCs w:val="24"/>
        </w:rPr>
        <w:t>или по други подходящи начини, съгласно указания на Ръководителя на проекта във връзка с изпълнение на конкретните дейности по проекта.</w:t>
      </w:r>
      <w:r w:rsidR="00FE2C39" w:rsidRPr="009527FF">
        <w:rPr>
          <w:rStyle w:val="FontStyle22"/>
          <w:rFonts w:eastAsia="Trebuchet MS"/>
          <w:sz w:val="24"/>
          <w:szCs w:val="24"/>
        </w:rPr>
        <w:t xml:space="preserve"> </w:t>
      </w:r>
    </w:p>
    <w:p w14:paraId="65E4E0F7" w14:textId="1D60DC48" w:rsidR="00AD45EA" w:rsidRPr="009527FF" w:rsidRDefault="00AD45EA" w:rsidP="00A15776">
      <w:pPr>
        <w:pStyle w:val="ListParagraph"/>
        <w:numPr>
          <w:ilvl w:val="0"/>
          <w:numId w:val="18"/>
        </w:numPr>
        <w:tabs>
          <w:tab w:val="left" w:pos="6252"/>
        </w:tabs>
        <w:spacing w:after="200" w:line="264" w:lineRule="auto"/>
        <w:jc w:val="both"/>
        <w:rPr>
          <w:rStyle w:val="FontStyle22"/>
          <w:rFonts w:eastAsia="Trebuchet MS"/>
          <w:sz w:val="24"/>
          <w:szCs w:val="24"/>
        </w:rPr>
      </w:pPr>
      <w:r w:rsidRPr="009527FF">
        <w:rPr>
          <w:rStyle w:val="FontStyle22"/>
          <w:rFonts w:eastAsia="Trebuchet MS"/>
          <w:sz w:val="24"/>
          <w:szCs w:val="24"/>
        </w:rPr>
        <w:t xml:space="preserve">Съдейства на екипите от МФ и на други институции, при извършване на проверки от тяхна страна относно изпълнението на </w:t>
      </w:r>
      <w:r w:rsidR="009527FF" w:rsidRPr="009527FF">
        <w:rPr>
          <w:rStyle w:val="FontStyle22"/>
          <w:rFonts w:eastAsia="Trebuchet MS"/>
          <w:sz w:val="24"/>
          <w:szCs w:val="24"/>
        </w:rPr>
        <w:t>дейностите</w:t>
      </w:r>
      <w:r w:rsidRPr="009527FF">
        <w:rPr>
          <w:rStyle w:val="FontStyle22"/>
          <w:rFonts w:eastAsia="Trebuchet MS"/>
          <w:sz w:val="24"/>
          <w:szCs w:val="24"/>
        </w:rPr>
        <w:t xml:space="preserve"> по проекта.  </w:t>
      </w:r>
    </w:p>
    <w:p w14:paraId="18974FA1" w14:textId="77777777" w:rsidR="00567EA7" w:rsidRPr="009527FF" w:rsidRDefault="008D7BC6" w:rsidP="00A15776">
      <w:pPr>
        <w:pStyle w:val="ListParagraph"/>
        <w:numPr>
          <w:ilvl w:val="0"/>
          <w:numId w:val="18"/>
        </w:numPr>
        <w:tabs>
          <w:tab w:val="left" w:pos="6252"/>
        </w:tabs>
        <w:spacing w:after="200" w:line="264" w:lineRule="auto"/>
        <w:jc w:val="both"/>
        <w:rPr>
          <w:rStyle w:val="FontStyle22"/>
          <w:rFonts w:eastAsia="Trebuchet MS"/>
          <w:sz w:val="24"/>
          <w:szCs w:val="24"/>
        </w:rPr>
      </w:pPr>
      <w:r w:rsidRPr="009527FF">
        <w:rPr>
          <w:rStyle w:val="FontStyle22"/>
          <w:rFonts w:eastAsia="Trebuchet MS"/>
          <w:sz w:val="24"/>
          <w:szCs w:val="24"/>
        </w:rPr>
        <w:t>Изпълнява и други конкретно възложени задачи, свързани с длъжността.</w:t>
      </w:r>
    </w:p>
    <w:p w14:paraId="7FD69C8A" w14:textId="77777777" w:rsidR="00567EA7" w:rsidRPr="009527FF" w:rsidRDefault="0006716F" w:rsidP="009527FF">
      <w:pPr>
        <w:pStyle w:val="Heading1"/>
      </w:pPr>
      <w:r w:rsidRPr="009527FF">
        <w:t>Изисквания към кандидатите:</w:t>
      </w:r>
    </w:p>
    <w:p w14:paraId="67405E28" w14:textId="77777777" w:rsidR="008D7BC6" w:rsidRPr="009527FF" w:rsidRDefault="0006716F" w:rsidP="0034595B">
      <w:pPr>
        <w:pStyle w:val="ListParagraph"/>
        <w:numPr>
          <w:ilvl w:val="0"/>
          <w:numId w:val="14"/>
        </w:numPr>
        <w:tabs>
          <w:tab w:val="left" w:pos="6252"/>
        </w:tabs>
        <w:spacing w:after="200" w:line="264" w:lineRule="auto"/>
        <w:jc w:val="both"/>
      </w:pPr>
      <w:r w:rsidRPr="009527FF">
        <w:t xml:space="preserve">Образование/ квалификация: </w:t>
      </w:r>
      <w:r w:rsidR="004B439A" w:rsidRPr="009527FF">
        <w:t>висше образование</w:t>
      </w:r>
      <w:r w:rsidR="009E3521" w:rsidRPr="009527FF">
        <w:t>, бакалавър или магистър</w:t>
      </w:r>
    </w:p>
    <w:p w14:paraId="2B690078" w14:textId="14F21924" w:rsidR="0034595B" w:rsidRPr="009527FF" w:rsidRDefault="00FF08DA" w:rsidP="0034595B">
      <w:pPr>
        <w:pStyle w:val="ListParagraph"/>
        <w:numPr>
          <w:ilvl w:val="0"/>
          <w:numId w:val="14"/>
        </w:numPr>
        <w:spacing w:line="264" w:lineRule="auto"/>
      </w:pPr>
      <w:r w:rsidRPr="009527FF">
        <w:t>Специфичен</w:t>
      </w:r>
      <w:r w:rsidR="0006716F" w:rsidRPr="009527FF">
        <w:t xml:space="preserve"> опит:  </w:t>
      </w:r>
      <w:r w:rsidR="0034595B" w:rsidRPr="009527FF">
        <w:t>с минимум 3 години опит в дейности по оценка на въздействието върху околната среда и извършена поне една оценка съгласно Техническите насоки за прилагането на принципа за „</w:t>
      </w:r>
      <w:r w:rsidR="000264D1" w:rsidRPr="009527FF">
        <w:t>не нанасяне</w:t>
      </w:r>
      <w:r w:rsidR="0034595B" w:rsidRPr="009527FF">
        <w:t xml:space="preserve"> на значителни вреди“ .</w:t>
      </w:r>
    </w:p>
    <w:p w14:paraId="7643D08F" w14:textId="77777777" w:rsidR="0006716F" w:rsidRPr="009527FF" w:rsidRDefault="0006716F" w:rsidP="009527FF">
      <w:pPr>
        <w:pStyle w:val="Heading1"/>
      </w:pPr>
      <w:r w:rsidRPr="009527FF">
        <w:t>Други условия:</w:t>
      </w:r>
    </w:p>
    <w:p w14:paraId="22A4FD68" w14:textId="45CE5F16" w:rsidR="0006716F" w:rsidRPr="009527FF" w:rsidRDefault="0006716F" w:rsidP="0034595B">
      <w:pPr>
        <w:pStyle w:val="ListParagraph"/>
        <w:numPr>
          <w:ilvl w:val="0"/>
          <w:numId w:val="15"/>
        </w:numPr>
        <w:spacing w:line="264" w:lineRule="auto"/>
        <w:ind w:right="16"/>
      </w:pPr>
      <w:r w:rsidRPr="009527FF">
        <w:t xml:space="preserve">Сключване на </w:t>
      </w:r>
      <w:r w:rsidR="000264D1">
        <w:t xml:space="preserve">срочен </w:t>
      </w:r>
      <w:r w:rsidRPr="009527FF">
        <w:t xml:space="preserve">трудов договор на </w:t>
      </w:r>
      <w:r w:rsidR="0034595B" w:rsidRPr="009527FF">
        <w:t>не</w:t>
      </w:r>
      <w:r w:rsidRPr="009527FF">
        <w:t xml:space="preserve">пълно работно време </w:t>
      </w:r>
      <w:r w:rsidR="00334F1C" w:rsidRPr="009527FF">
        <w:t xml:space="preserve">за срок </w:t>
      </w:r>
      <w:r w:rsidR="00D20DC3" w:rsidRPr="009527FF">
        <w:t>до</w:t>
      </w:r>
      <w:r w:rsidR="00334F1C" w:rsidRPr="009527FF">
        <w:t xml:space="preserve"> </w:t>
      </w:r>
      <w:r w:rsidR="00FF08DA" w:rsidRPr="009527FF">
        <w:t>юни 2026 година</w:t>
      </w:r>
      <w:r w:rsidR="00334F1C" w:rsidRPr="009527FF">
        <w:t>;</w:t>
      </w:r>
    </w:p>
    <w:p w14:paraId="2E9A3136" w14:textId="27EF75FF" w:rsidR="002E047F" w:rsidRPr="009527FF" w:rsidRDefault="002E047F" w:rsidP="0034595B">
      <w:pPr>
        <w:pStyle w:val="ListParagraph"/>
        <w:numPr>
          <w:ilvl w:val="0"/>
          <w:numId w:val="15"/>
        </w:numPr>
        <w:spacing w:line="264" w:lineRule="auto"/>
      </w:pPr>
      <w:r w:rsidRPr="009527FF">
        <w:t xml:space="preserve">Часова ставка </w:t>
      </w:r>
      <w:r w:rsidR="00FA1F68" w:rsidRPr="009527FF">
        <w:t>–</w:t>
      </w:r>
      <w:r w:rsidRPr="009527FF">
        <w:t xml:space="preserve"> в</w:t>
      </w:r>
      <w:r w:rsidR="00FA1F68" w:rsidRPr="009527FF">
        <w:t xml:space="preserve"> </w:t>
      </w:r>
      <w:r w:rsidRPr="009527FF">
        <w:t>зависимост от специфичния опит, мин.</w:t>
      </w:r>
      <w:r w:rsidR="007E386B" w:rsidRPr="009527FF">
        <w:t xml:space="preserve"> </w:t>
      </w:r>
      <w:r w:rsidRPr="009527FF">
        <w:t>1</w:t>
      </w:r>
      <w:r w:rsidR="0034595B" w:rsidRPr="009527FF">
        <w:t>4</w:t>
      </w:r>
      <w:r w:rsidRPr="009527FF">
        <w:t xml:space="preserve">.00 </w:t>
      </w:r>
      <w:r w:rsidR="009527FF" w:rsidRPr="009527FF">
        <w:t>лв.</w:t>
      </w:r>
      <w:r w:rsidRPr="009527FF">
        <w:t>/ч</w:t>
      </w:r>
    </w:p>
    <w:p w14:paraId="6C5EA175" w14:textId="77777777" w:rsidR="002E047F" w:rsidRPr="009527FF" w:rsidRDefault="002E047F" w:rsidP="0034595B">
      <w:pPr>
        <w:pStyle w:val="ListParagraph"/>
        <w:spacing w:line="264" w:lineRule="auto"/>
        <w:ind w:left="862" w:right="16"/>
      </w:pPr>
    </w:p>
    <w:p w14:paraId="0564F23B" w14:textId="288E8830" w:rsidR="00334F1C" w:rsidRPr="009527FF" w:rsidRDefault="00334F1C" w:rsidP="0034595B">
      <w:pPr>
        <w:tabs>
          <w:tab w:val="left" w:pos="6252"/>
        </w:tabs>
        <w:spacing w:line="264" w:lineRule="auto"/>
      </w:pPr>
      <w:r w:rsidRPr="009527FF">
        <w:t xml:space="preserve">Позицията се финансира от проект „Повишаване на иновационния капацитет на Българската академия на науките (БАН) в сферата на зелените и цифровите технологии“ в рамките на Национален план за </w:t>
      </w:r>
      <w:r w:rsidR="009527FF" w:rsidRPr="009527FF">
        <w:t>възстановяване</w:t>
      </w:r>
      <w:r w:rsidRPr="009527FF">
        <w:t xml:space="preserve"> и устойчивост.</w:t>
      </w:r>
    </w:p>
    <w:p w14:paraId="72E6FD48" w14:textId="77777777" w:rsidR="00334F1C" w:rsidRPr="009527FF" w:rsidRDefault="00334F1C" w:rsidP="009527FF">
      <w:pPr>
        <w:pStyle w:val="Heading1"/>
      </w:pPr>
      <w:r w:rsidRPr="009527FF">
        <w:t>Необходими документи за кандидатстване:</w:t>
      </w:r>
    </w:p>
    <w:p w14:paraId="228FB54F" w14:textId="77777777" w:rsidR="00334F1C" w:rsidRPr="009527FF" w:rsidRDefault="00334F1C" w:rsidP="0034595B">
      <w:pPr>
        <w:pStyle w:val="ListParagraph"/>
        <w:numPr>
          <w:ilvl w:val="0"/>
          <w:numId w:val="9"/>
        </w:numPr>
        <w:spacing w:after="200" w:line="264" w:lineRule="auto"/>
        <w:ind w:left="851"/>
        <w:rPr>
          <w:rFonts w:eastAsiaTheme="minorHAnsi"/>
          <w:lang w:eastAsia="en-US"/>
        </w:rPr>
      </w:pPr>
      <w:r w:rsidRPr="009527FF">
        <w:rPr>
          <w:rFonts w:eastAsiaTheme="minorHAnsi"/>
          <w:lang w:eastAsia="en-US"/>
        </w:rPr>
        <w:t>Заявление (свободен текст с посочени данни за контакт</w:t>
      </w:r>
      <w:r w:rsidR="00580ACE" w:rsidRPr="009527FF">
        <w:rPr>
          <w:rFonts w:eastAsiaTheme="minorHAnsi"/>
          <w:lang w:eastAsia="en-US"/>
        </w:rPr>
        <w:t>)</w:t>
      </w:r>
      <w:r w:rsidRPr="009527FF">
        <w:rPr>
          <w:rFonts w:eastAsiaTheme="minorHAnsi"/>
          <w:lang w:eastAsia="en-US"/>
        </w:rPr>
        <w:t xml:space="preserve">  </w:t>
      </w:r>
    </w:p>
    <w:p w14:paraId="7E2B5ECD" w14:textId="77777777" w:rsidR="00334F1C" w:rsidRPr="009527FF" w:rsidRDefault="00334F1C" w:rsidP="0034595B">
      <w:pPr>
        <w:pStyle w:val="ListParagraph"/>
        <w:numPr>
          <w:ilvl w:val="0"/>
          <w:numId w:val="9"/>
        </w:numPr>
        <w:spacing w:after="200" w:line="264" w:lineRule="auto"/>
        <w:ind w:left="851"/>
        <w:rPr>
          <w:rFonts w:eastAsiaTheme="minorHAnsi"/>
          <w:lang w:eastAsia="en-US"/>
        </w:rPr>
      </w:pPr>
      <w:r w:rsidRPr="009527FF">
        <w:rPr>
          <w:rFonts w:eastAsiaTheme="minorHAnsi"/>
          <w:lang w:eastAsia="en-US"/>
        </w:rPr>
        <w:t>Автобиография (CV европейски формат);</w:t>
      </w:r>
    </w:p>
    <w:p w14:paraId="60E0ED22" w14:textId="77777777" w:rsidR="00334F1C" w:rsidRPr="009527FF" w:rsidRDefault="00334F1C" w:rsidP="0034595B">
      <w:pPr>
        <w:pStyle w:val="ListParagraph"/>
        <w:numPr>
          <w:ilvl w:val="0"/>
          <w:numId w:val="9"/>
        </w:numPr>
        <w:spacing w:after="200" w:line="264" w:lineRule="auto"/>
        <w:ind w:left="851"/>
        <w:rPr>
          <w:rFonts w:eastAsiaTheme="minorHAnsi"/>
          <w:lang w:eastAsia="en-US"/>
        </w:rPr>
      </w:pPr>
      <w:r w:rsidRPr="009527FF">
        <w:rPr>
          <w:rFonts w:eastAsiaTheme="minorHAnsi"/>
          <w:lang w:eastAsia="en-US"/>
        </w:rPr>
        <w:t>Диплома за завършено висше образование;</w:t>
      </w:r>
    </w:p>
    <w:p w14:paraId="2FF62B90" w14:textId="77777777" w:rsidR="00334F1C" w:rsidRPr="009527FF" w:rsidRDefault="00334F1C" w:rsidP="0034595B">
      <w:pPr>
        <w:pStyle w:val="ListParagraph"/>
        <w:numPr>
          <w:ilvl w:val="0"/>
          <w:numId w:val="9"/>
        </w:numPr>
        <w:spacing w:after="200" w:line="264" w:lineRule="auto"/>
        <w:ind w:left="851"/>
        <w:rPr>
          <w:rFonts w:eastAsiaTheme="minorHAnsi"/>
          <w:lang w:eastAsia="en-US"/>
        </w:rPr>
      </w:pPr>
      <w:r w:rsidRPr="009527FF">
        <w:rPr>
          <w:rFonts w:eastAsiaTheme="minorHAnsi"/>
          <w:lang w:eastAsia="en-US"/>
        </w:rPr>
        <w:t>Други дипломи, свидетелства и удостоверения за придобита квалификация/опит по преценка на кандидата.</w:t>
      </w:r>
    </w:p>
    <w:p w14:paraId="11F1F09B" w14:textId="77777777" w:rsidR="00A835A9" w:rsidRPr="009527FF" w:rsidRDefault="00A835A9" w:rsidP="0034595B">
      <w:pPr>
        <w:spacing w:line="264" w:lineRule="auto"/>
        <w:ind w:left="851"/>
        <w:jc w:val="both"/>
        <w:rPr>
          <w:rFonts w:eastAsiaTheme="minorHAnsi"/>
          <w:lang w:eastAsia="en-US"/>
        </w:rPr>
      </w:pPr>
      <w:r w:rsidRPr="009527FF">
        <w:rPr>
          <w:rFonts w:eastAsiaTheme="minorHAnsi"/>
          <w:lang w:eastAsia="en-US"/>
        </w:rPr>
        <w:lastRenderedPageBreak/>
        <w:t xml:space="preserve">Забележка: </w:t>
      </w:r>
    </w:p>
    <w:p w14:paraId="09A8341E" w14:textId="77777777" w:rsidR="00A835A9" w:rsidRPr="009527FF" w:rsidRDefault="00A835A9" w:rsidP="0034595B">
      <w:pPr>
        <w:spacing w:line="264" w:lineRule="auto"/>
        <w:ind w:left="851"/>
        <w:rPr>
          <w:rFonts w:eastAsiaTheme="minorHAnsi"/>
          <w:lang w:eastAsia="en-US"/>
        </w:rPr>
      </w:pPr>
    </w:p>
    <w:p w14:paraId="14E41328" w14:textId="2BFF0E88" w:rsidR="00A835A9" w:rsidRPr="009527FF" w:rsidRDefault="00A835A9" w:rsidP="0034595B">
      <w:pPr>
        <w:spacing w:line="264" w:lineRule="auto"/>
        <w:ind w:left="851"/>
      </w:pPr>
      <w:r w:rsidRPr="009527FF">
        <w:rPr>
          <w:rFonts w:eastAsiaTheme="minorHAnsi"/>
          <w:lang w:eastAsia="en-US"/>
        </w:rPr>
        <w:t xml:space="preserve">Документи се приемат </w:t>
      </w:r>
      <w:r w:rsidRPr="009527FF">
        <w:rPr>
          <w:rFonts w:eastAsiaTheme="minorHAnsi"/>
          <w:b/>
          <w:lang w:eastAsia="en-US"/>
        </w:rPr>
        <w:t xml:space="preserve">от </w:t>
      </w:r>
      <w:r w:rsidR="000264D1">
        <w:rPr>
          <w:rFonts w:eastAsiaTheme="minorHAnsi"/>
          <w:b/>
          <w:lang w:eastAsia="en-US"/>
        </w:rPr>
        <w:t>1</w:t>
      </w:r>
      <w:r w:rsidR="001F577F">
        <w:rPr>
          <w:rFonts w:eastAsiaTheme="minorHAnsi"/>
          <w:b/>
          <w:lang w:eastAsia="en-US"/>
        </w:rPr>
        <w:t>1</w:t>
      </w:r>
      <w:r w:rsidRPr="009527FF">
        <w:rPr>
          <w:rFonts w:eastAsiaTheme="minorHAnsi"/>
          <w:b/>
          <w:lang w:eastAsia="en-US"/>
        </w:rPr>
        <w:t>.</w:t>
      </w:r>
      <w:r w:rsidR="0034595B" w:rsidRPr="009527FF">
        <w:rPr>
          <w:rFonts w:eastAsiaTheme="minorHAnsi"/>
          <w:b/>
          <w:lang w:eastAsia="en-US"/>
        </w:rPr>
        <w:t>12</w:t>
      </w:r>
      <w:r w:rsidRPr="009527FF">
        <w:rPr>
          <w:rFonts w:eastAsiaTheme="minorHAnsi"/>
          <w:b/>
          <w:lang w:eastAsia="en-US"/>
        </w:rPr>
        <w:t xml:space="preserve">.2023 г. до </w:t>
      </w:r>
      <w:r w:rsidR="001F577F">
        <w:rPr>
          <w:rFonts w:eastAsiaTheme="minorHAnsi"/>
          <w:b/>
          <w:lang w:eastAsia="en-US"/>
        </w:rPr>
        <w:t>18</w:t>
      </w:r>
      <w:r w:rsidRPr="009527FF">
        <w:rPr>
          <w:rFonts w:eastAsiaTheme="minorHAnsi"/>
          <w:b/>
          <w:lang w:eastAsia="en-US"/>
        </w:rPr>
        <w:t>.</w:t>
      </w:r>
      <w:r w:rsidR="0034595B" w:rsidRPr="009527FF">
        <w:rPr>
          <w:rFonts w:eastAsiaTheme="minorHAnsi"/>
          <w:b/>
          <w:lang w:eastAsia="en-US"/>
        </w:rPr>
        <w:t>12</w:t>
      </w:r>
      <w:r w:rsidRPr="009527FF">
        <w:rPr>
          <w:rFonts w:eastAsiaTheme="minorHAnsi"/>
          <w:b/>
          <w:lang w:eastAsia="en-US"/>
        </w:rPr>
        <w:t>.2023</w:t>
      </w:r>
      <w:r w:rsidRPr="009527FF">
        <w:rPr>
          <w:rFonts w:eastAsiaTheme="minorHAnsi"/>
          <w:lang w:eastAsia="en-US"/>
        </w:rPr>
        <w:t xml:space="preserve"> </w:t>
      </w:r>
      <w:r w:rsidRPr="009527FF">
        <w:rPr>
          <w:rFonts w:eastAsiaTheme="minorHAnsi"/>
          <w:b/>
          <w:lang w:eastAsia="en-US"/>
        </w:rPr>
        <w:t>г</w:t>
      </w:r>
      <w:r w:rsidRPr="009527FF">
        <w:rPr>
          <w:rFonts w:eastAsiaTheme="minorHAnsi"/>
          <w:lang w:eastAsia="en-US"/>
        </w:rPr>
        <w:t xml:space="preserve">. на следната електронна поща: </w:t>
      </w:r>
      <w:hyperlink r:id="rId10" w:history="1">
        <w:r w:rsidRPr="009527FF">
          <w:rPr>
            <w:rStyle w:val="Hyperlink"/>
            <w:rFonts w:eastAsiaTheme="minorHAnsi"/>
            <w:lang w:eastAsia="en-US"/>
          </w:rPr>
          <w:t>pvu_ban@cu.bas.bg</w:t>
        </w:r>
      </w:hyperlink>
      <w:r w:rsidRPr="009527FF">
        <w:rPr>
          <w:rFonts w:eastAsiaTheme="minorHAnsi"/>
          <w:lang w:eastAsia="en-US"/>
        </w:rPr>
        <w:t>.</w:t>
      </w:r>
    </w:p>
    <w:p w14:paraId="2D3B34F4" w14:textId="77777777" w:rsidR="00A835A9" w:rsidRPr="009527FF" w:rsidRDefault="00A835A9" w:rsidP="0034595B">
      <w:pPr>
        <w:spacing w:line="264" w:lineRule="auto"/>
        <w:ind w:left="851"/>
        <w:jc w:val="both"/>
        <w:rPr>
          <w:rFonts w:eastAsiaTheme="minorHAnsi"/>
          <w:lang w:eastAsia="en-US"/>
        </w:rPr>
      </w:pPr>
    </w:p>
    <w:p w14:paraId="536B32C1" w14:textId="77777777" w:rsidR="00600629" w:rsidRPr="009527FF" w:rsidRDefault="0034595B" w:rsidP="0034595B">
      <w:pPr>
        <w:spacing w:after="200" w:line="264" w:lineRule="auto"/>
        <w:ind w:left="851"/>
      </w:pPr>
      <w:r w:rsidRPr="009527FF">
        <w:rPr>
          <w:rFonts w:eastAsiaTheme="minorHAnsi"/>
          <w:lang w:eastAsia="en-US"/>
        </w:rPr>
        <w:t>Оригиналите се представят при класиране и покана за назначаване.</w:t>
      </w:r>
    </w:p>
    <w:p w14:paraId="52870635" w14:textId="77777777" w:rsidR="00886DA0" w:rsidRPr="000264D1" w:rsidRDefault="00886DA0" w:rsidP="009527FF">
      <w:pPr>
        <w:pStyle w:val="Heading1"/>
        <w:rPr>
          <w:rFonts w:ascii="Times New Roman" w:hAnsi="Times New Roman" w:cs="Times New Roman"/>
        </w:rPr>
      </w:pPr>
      <w:r w:rsidRPr="000264D1">
        <w:rPr>
          <w:rFonts w:ascii="Times New Roman" w:hAnsi="Times New Roman" w:cs="Times New Roman"/>
        </w:rPr>
        <w:t xml:space="preserve">Етапи на </w:t>
      </w:r>
      <w:r w:rsidR="008377E3" w:rsidRPr="000264D1">
        <w:rPr>
          <w:rFonts w:ascii="Times New Roman" w:hAnsi="Times New Roman" w:cs="Times New Roman"/>
        </w:rPr>
        <w:t>подбора</w:t>
      </w:r>
      <w:r w:rsidRPr="000264D1">
        <w:rPr>
          <w:rFonts w:ascii="Times New Roman" w:hAnsi="Times New Roman" w:cs="Times New Roman"/>
        </w:rPr>
        <w:t>:</w:t>
      </w:r>
    </w:p>
    <w:p w14:paraId="2105EEE8" w14:textId="71168D38" w:rsidR="00886DA0" w:rsidRPr="009527FF" w:rsidRDefault="00886DA0" w:rsidP="000B170B">
      <w:pPr>
        <w:numPr>
          <w:ilvl w:val="1"/>
          <w:numId w:val="19"/>
        </w:numPr>
        <w:spacing w:after="200" w:line="276" w:lineRule="auto"/>
        <w:ind w:left="1211" w:right="-11" w:hanging="360"/>
        <w:jc w:val="both"/>
        <w:rPr>
          <w:rFonts w:eastAsiaTheme="minorHAnsi"/>
          <w:lang w:eastAsia="en-US"/>
        </w:rPr>
      </w:pPr>
      <w:r w:rsidRPr="009527FF">
        <w:rPr>
          <w:rFonts w:eastAsiaTheme="minorHAnsi"/>
          <w:lang w:eastAsia="en-US"/>
        </w:rPr>
        <w:t xml:space="preserve">Разглеждане на документите на кандидатите и допускане до събеседване на тези, които отговарят на изискванията и публикуване на списък на допуснатите кандидати на страницата на БАН на адрес: </w:t>
      </w:r>
      <w:hyperlink r:id="rId11" w:history="1">
        <w:r w:rsidR="007F455D" w:rsidRPr="009527FF">
          <w:rPr>
            <w:rStyle w:val="Hyperlink"/>
            <w:rFonts w:eastAsiaTheme="minorHAnsi"/>
            <w:lang w:eastAsia="en-US"/>
          </w:rPr>
          <w:t>https://pvu.bas.bg</w:t>
        </w:r>
      </w:hyperlink>
      <w:r w:rsidR="00203DE3" w:rsidRPr="009527FF">
        <w:rPr>
          <w:rFonts w:eastAsiaTheme="minorHAnsi"/>
          <w:lang w:eastAsia="en-US"/>
        </w:rPr>
        <w:t xml:space="preserve"> </w:t>
      </w:r>
      <w:r w:rsidR="009B6739" w:rsidRPr="009527FF">
        <w:t>(рубрика /Обяви и конкурси</w:t>
      </w:r>
      <w:r w:rsidR="0091381B" w:rsidRPr="009527FF">
        <w:t>).</w:t>
      </w:r>
    </w:p>
    <w:p w14:paraId="7BAAF0FA" w14:textId="58015659" w:rsidR="009B6739" w:rsidRPr="001073C8" w:rsidRDefault="00886DA0" w:rsidP="001073C8">
      <w:pPr>
        <w:pStyle w:val="ListParagraph"/>
        <w:numPr>
          <w:ilvl w:val="0"/>
          <w:numId w:val="19"/>
        </w:numPr>
        <w:spacing w:after="200" w:line="276" w:lineRule="auto"/>
        <w:ind w:right="-11"/>
        <w:jc w:val="both"/>
        <w:rPr>
          <w:rFonts w:eastAsiaTheme="minorHAnsi"/>
          <w:lang w:eastAsia="en-US"/>
        </w:rPr>
      </w:pPr>
      <w:bookmarkStart w:id="0" w:name="_GoBack"/>
      <w:bookmarkEnd w:id="0"/>
      <w:r w:rsidRPr="001073C8">
        <w:rPr>
          <w:rFonts w:eastAsiaTheme="minorHAnsi"/>
          <w:lang w:eastAsia="en-US"/>
        </w:rPr>
        <w:t xml:space="preserve">Публикуване на списък със класираните експерти на страницата на БАН на адрес: </w:t>
      </w:r>
      <w:hyperlink r:id="rId12" w:history="1">
        <w:r w:rsidR="007F455D" w:rsidRPr="001073C8">
          <w:rPr>
            <w:rStyle w:val="Hyperlink"/>
            <w:rFonts w:eastAsiaTheme="minorHAnsi"/>
            <w:lang w:eastAsia="en-US"/>
          </w:rPr>
          <w:t>https://pvu.bas.bg</w:t>
        </w:r>
      </w:hyperlink>
      <w:r w:rsidR="0091381B" w:rsidRPr="009527FF">
        <w:t xml:space="preserve"> </w:t>
      </w:r>
      <w:r w:rsidRPr="001073C8">
        <w:rPr>
          <w:rFonts w:eastAsiaTheme="minorHAnsi"/>
          <w:lang w:eastAsia="en-US"/>
        </w:rPr>
        <w:t>(</w:t>
      </w:r>
      <w:r w:rsidR="009B6739" w:rsidRPr="009527FF">
        <w:t>рубрика /Обяви и конкурси).</w:t>
      </w:r>
    </w:p>
    <w:p w14:paraId="67EB9796" w14:textId="77777777" w:rsidR="00886DA0" w:rsidRPr="009527FF" w:rsidRDefault="00886DA0" w:rsidP="00B43223">
      <w:pPr>
        <w:spacing w:line="264" w:lineRule="auto"/>
        <w:ind w:left="851"/>
        <w:jc w:val="both"/>
        <w:rPr>
          <w:rFonts w:eastAsiaTheme="minorHAnsi"/>
          <w:lang w:eastAsia="en-US"/>
        </w:rPr>
      </w:pPr>
    </w:p>
    <w:p w14:paraId="54233D91" w14:textId="77777777" w:rsidR="0091381B" w:rsidRPr="009527FF" w:rsidRDefault="0091381B" w:rsidP="0091381B">
      <w:pPr>
        <w:ind w:left="143" w:firstLine="708"/>
        <w:rPr>
          <w:szCs w:val="22"/>
        </w:rPr>
      </w:pPr>
      <w:r w:rsidRPr="009527FF">
        <w:t xml:space="preserve">За допълнителна информация: </w:t>
      </w:r>
    </w:p>
    <w:p w14:paraId="66FDC8FA" w14:textId="77777777" w:rsidR="0091381B" w:rsidRPr="009527FF" w:rsidRDefault="0091381B" w:rsidP="0091381B">
      <w:pPr>
        <w:spacing w:after="16" w:line="256" w:lineRule="auto"/>
        <w:ind w:left="165" w:firstLine="686"/>
      </w:pPr>
      <w:r w:rsidRPr="009527FF">
        <w:t xml:space="preserve">лице за контакти: </w:t>
      </w:r>
      <w:r w:rsidR="0034595B" w:rsidRPr="009527FF">
        <w:t>Дарина Илчева</w:t>
      </w:r>
      <w:r w:rsidRPr="009527FF">
        <w:t xml:space="preserve">  </w:t>
      </w:r>
    </w:p>
    <w:p w14:paraId="31140ED7" w14:textId="3D8D9D9C" w:rsidR="0091381B" w:rsidRPr="009527FF" w:rsidRDefault="0091381B" w:rsidP="0091381B">
      <w:pPr>
        <w:ind w:left="143" w:right="2151" w:firstLine="708"/>
      </w:pPr>
      <w:r w:rsidRPr="009527FF">
        <w:t xml:space="preserve">e-mail: </w:t>
      </w:r>
      <w:hyperlink r:id="rId13" w:history="1">
        <w:r w:rsidR="00EF2A1D" w:rsidRPr="009527FF">
          <w:rPr>
            <w:rStyle w:val="Hyperlink"/>
          </w:rPr>
          <w:t>d.ilcheva@cu.bas.bg</w:t>
        </w:r>
      </w:hyperlink>
      <w:r w:rsidR="00EF2A1D" w:rsidRPr="009527FF">
        <w:t xml:space="preserve">, </w:t>
      </w:r>
      <w:r w:rsidRPr="009527FF">
        <w:t xml:space="preserve">тел:  02 979 53 69 </w:t>
      </w:r>
    </w:p>
    <w:p w14:paraId="698A16C9" w14:textId="495A7EF6" w:rsidR="0091381B" w:rsidRPr="009527FF" w:rsidRDefault="0091381B" w:rsidP="00A15776">
      <w:pPr>
        <w:spacing w:line="256" w:lineRule="auto"/>
      </w:pPr>
    </w:p>
    <w:p w14:paraId="7198FE33" w14:textId="77777777" w:rsidR="0006716F" w:rsidRPr="009527FF" w:rsidRDefault="0006716F" w:rsidP="00A15776">
      <w:pPr>
        <w:jc w:val="both"/>
        <w:rPr>
          <w:rFonts w:eastAsiaTheme="minorHAnsi"/>
          <w:b/>
          <w:lang w:eastAsia="en-US"/>
        </w:rPr>
      </w:pPr>
    </w:p>
    <w:sectPr w:rsidR="0006716F" w:rsidRPr="009527FF" w:rsidSect="00734D81">
      <w:headerReference w:type="default" r:id="rId14"/>
      <w:footerReference w:type="default" r:id="rId15"/>
      <w:pgSz w:w="11906" w:h="16838" w:code="9"/>
      <w:pgMar w:top="1134" w:right="1134" w:bottom="1134" w:left="1134" w:header="142"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2EDDC" w14:textId="77777777" w:rsidR="004025EE" w:rsidRDefault="004025EE" w:rsidP="00C5450D">
      <w:r>
        <w:separator/>
      </w:r>
    </w:p>
  </w:endnote>
  <w:endnote w:type="continuationSeparator" w:id="0">
    <w:p w14:paraId="0D6069BE" w14:textId="77777777" w:rsidR="004025EE" w:rsidRDefault="004025EE"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ok">
    <w:altName w:val="Arial Narrow"/>
    <w:charset w:val="00"/>
    <w:family w:val="swiss"/>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478C" w14:textId="2AABF233" w:rsidR="00EF2A1D" w:rsidRPr="001370D5" w:rsidRDefault="00EF2A1D" w:rsidP="001370D5">
    <w:pPr>
      <w:pBdr>
        <w:top w:val="single" w:sz="8" w:space="1" w:color="2E74B5"/>
      </w:pBdr>
      <w:spacing w:line="259" w:lineRule="auto"/>
      <w:ind w:right="48"/>
      <w:jc w:val="right"/>
      <w:rPr>
        <w:rFonts w:asciiTheme="majorHAnsi" w:hAnsiTheme="majorHAnsi"/>
      </w:rPr>
    </w:pPr>
    <w:r w:rsidRPr="001370D5">
      <w:rPr>
        <w:rFonts w:asciiTheme="majorHAnsi" w:eastAsia="Calibri" w:hAnsiTheme="majorHAnsi" w:cs="Calibri"/>
        <w:b/>
        <w:bCs/>
        <w:color w:val="2E74B5"/>
        <w:sz w:val="22"/>
      </w:rPr>
      <w:fldChar w:fldCharType="begin"/>
    </w:r>
    <w:r w:rsidRPr="001370D5">
      <w:rPr>
        <w:rFonts w:asciiTheme="majorHAnsi" w:eastAsia="Calibri" w:hAnsiTheme="majorHAnsi" w:cs="Calibri"/>
        <w:b/>
        <w:bCs/>
        <w:color w:val="2E74B5"/>
        <w:sz w:val="22"/>
      </w:rPr>
      <w:instrText xml:space="preserve"> PAGE   \* MERGEFORMAT </w:instrText>
    </w:r>
    <w:r w:rsidRPr="001370D5">
      <w:rPr>
        <w:rFonts w:asciiTheme="majorHAnsi" w:eastAsia="Calibri" w:hAnsiTheme="majorHAnsi" w:cs="Calibri"/>
        <w:b/>
        <w:bCs/>
        <w:color w:val="2E74B5"/>
        <w:sz w:val="22"/>
      </w:rPr>
      <w:fldChar w:fldCharType="separate"/>
    </w:r>
    <w:r w:rsidR="001073C8">
      <w:rPr>
        <w:rFonts w:asciiTheme="majorHAnsi" w:eastAsia="Calibri" w:hAnsiTheme="majorHAnsi" w:cs="Calibri"/>
        <w:b/>
        <w:bCs/>
        <w:noProof/>
        <w:color w:val="2E74B5"/>
        <w:sz w:val="22"/>
      </w:rPr>
      <w:t>2</w:t>
    </w:r>
    <w:r w:rsidRPr="001370D5">
      <w:rPr>
        <w:rFonts w:asciiTheme="majorHAnsi" w:eastAsia="Calibri" w:hAnsiTheme="majorHAnsi" w:cs="Calibri"/>
        <w:b/>
        <w:bCs/>
        <w:color w:val="2E74B5"/>
        <w:sz w:val="22"/>
      </w:rPr>
      <w:fldChar w:fldCharType="end"/>
    </w:r>
    <w:r w:rsidRPr="001370D5">
      <w:rPr>
        <w:rFonts w:asciiTheme="majorHAnsi" w:eastAsia="Calibri" w:hAnsiTheme="majorHAnsi" w:cs="Calibri"/>
        <w:b/>
        <w:bCs/>
        <w:color w:val="2E74B5"/>
        <w:sz w:val="22"/>
      </w:rPr>
      <w:t>/</w:t>
    </w:r>
    <w:r w:rsidRPr="001370D5">
      <w:rPr>
        <w:rFonts w:asciiTheme="majorHAnsi" w:eastAsia="Calibri" w:hAnsiTheme="majorHAnsi" w:cs="Calibri"/>
        <w:b/>
        <w:bCs/>
        <w:color w:val="2E74B5"/>
        <w:sz w:val="22"/>
      </w:rPr>
      <w:fldChar w:fldCharType="begin"/>
    </w:r>
    <w:r w:rsidRPr="001370D5">
      <w:rPr>
        <w:rFonts w:asciiTheme="majorHAnsi" w:eastAsia="Calibri" w:hAnsiTheme="majorHAnsi" w:cs="Calibri"/>
        <w:b/>
        <w:bCs/>
        <w:color w:val="2E74B5"/>
        <w:sz w:val="22"/>
      </w:rPr>
      <w:instrText xml:space="preserve"> NUMPAGES   \* MERGEFORMAT </w:instrText>
    </w:r>
    <w:r w:rsidRPr="001370D5">
      <w:rPr>
        <w:rFonts w:asciiTheme="majorHAnsi" w:eastAsia="Calibri" w:hAnsiTheme="majorHAnsi" w:cs="Calibri"/>
        <w:b/>
        <w:bCs/>
        <w:color w:val="2E74B5"/>
        <w:sz w:val="22"/>
      </w:rPr>
      <w:fldChar w:fldCharType="separate"/>
    </w:r>
    <w:r w:rsidR="001073C8">
      <w:rPr>
        <w:rFonts w:asciiTheme="majorHAnsi" w:eastAsia="Calibri" w:hAnsiTheme="majorHAnsi" w:cs="Calibri"/>
        <w:b/>
        <w:bCs/>
        <w:noProof/>
        <w:color w:val="2E74B5"/>
        <w:sz w:val="22"/>
      </w:rPr>
      <w:t>3</w:t>
    </w:r>
    <w:r w:rsidRPr="001370D5">
      <w:rPr>
        <w:rFonts w:asciiTheme="majorHAnsi" w:eastAsia="Calibri" w:hAnsiTheme="majorHAnsi" w:cs="Calibri"/>
        <w:b/>
        <w:bCs/>
        <w:color w:val="2E74B5"/>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ABD8" w14:textId="77777777" w:rsidR="004025EE" w:rsidRDefault="004025EE" w:rsidP="00C5450D">
      <w:r>
        <w:separator/>
      </w:r>
    </w:p>
  </w:footnote>
  <w:footnote w:type="continuationSeparator" w:id="0">
    <w:p w14:paraId="1C1FEB52" w14:textId="77777777" w:rsidR="004025EE" w:rsidRDefault="004025EE"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CellMar>
        <w:left w:w="70" w:type="dxa"/>
        <w:right w:w="70" w:type="dxa"/>
      </w:tblCellMar>
      <w:tblLook w:val="0000" w:firstRow="0" w:lastRow="0" w:firstColumn="0" w:lastColumn="0" w:noHBand="0" w:noVBand="0"/>
    </w:tblPr>
    <w:tblGrid>
      <w:gridCol w:w="3182"/>
      <w:gridCol w:w="3183"/>
      <w:gridCol w:w="3274"/>
    </w:tblGrid>
    <w:tr w:rsidR="003A5230" w14:paraId="4A68A1D3" w14:textId="77777777" w:rsidTr="00A15776">
      <w:trPr>
        <w:jc w:val="center"/>
      </w:trPr>
      <w:tc>
        <w:tcPr>
          <w:tcW w:w="3182" w:type="dxa"/>
          <w:vAlign w:val="center"/>
        </w:tcPr>
        <w:p w14:paraId="4D624F4F" w14:textId="467B37FA" w:rsidR="003A5230" w:rsidRDefault="00CD772B" w:rsidP="003A5230">
          <w:pPr>
            <w:spacing w:line="259" w:lineRule="auto"/>
            <w:jc w:val="center"/>
          </w:pPr>
          <w:bookmarkStart w:id="1" w:name="_Hlk152944680"/>
          <w:r>
            <w:rPr>
              <w:noProof/>
            </w:rPr>
            <w:drawing>
              <wp:inline distT="0" distB="0" distL="0" distR="0" wp14:anchorId="489BD1E5" wp14:editId="7B4B349F">
                <wp:extent cx="963295" cy="591185"/>
                <wp:effectExtent l="0" t="0" r="8255" b="0"/>
                <wp:docPr id="42836786" name="Picture 42836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591185"/>
                        </a:xfrm>
                        <a:prstGeom prst="rect">
                          <a:avLst/>
                        </a:prstGeom>
                        <a:noFill/>
                      </pic:spPr>
                    </pic:pic>
                  </a:graphicData>
                </a:graphic>
              </wp:inline>
            </w:drawing>
          </w:r>
        </w:p>
      </w:tc>
      <w:tc>
        <w:tcPr>
          <w:tcW w:w="3183" w:type="dxa"/>
          <w:vAlign w:val="center"/>
        </w:tcPr>
        <w:p w14:paraId="4F896EC7" w14:textId="77777777" w:rsidR="003A5230" w:rsidRDefault="003A5230" w:rsidP="003A5230">
          <w:pPr>
            <w:spacing w:line="259" w:lineRule="auto"/>
            <w:jc w:val="center"/>
          </w:pPr>
          <w:r>
            <w:rPr>
              <w:noProof/>
            </w:rPr>
            <w:drawing>
              <wp:inline distT="0" distB="0" distL="0" distR="0" wp14:anchorId="5BF03FDE" wp14:editId="2ACF0802">
                <wp:extent cx="682625" cy="609600"/>
                <wp:effectExtent l="0" t="0" r="3175" b="0"/>
                <wp:docPr id="386649152" name="Picture 38664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625" cy="609600"/>
                        </a:xfrm>
                        <a:prstGeom prst="rect">
                          <a:avLst/>
                        </a:prstGeom>
                        <a:noFill/>
                      </pic:spPr>
                    </pic:pic>
                  </a:graphicData>
                </a:graphic>
              </wp:inline>
            </w:drawing>
          </w:r>
        </w:p>
      </w:tc>
      <w:tc>
        <w:tcPr>
          <w:tcW w:w="3274" w:type="dxa"/>
          <w:vAlign w:val="center"/>
        </w:tcPr>
        <w:p w14:paraId="666BA367" w14:textId="77777777" w:rsidR="003A5230" w:rsidRDefault="003A5230" w:rsidP="003A5230">
          <w:pPr>
            <w:spacing w:line="259" w:lineRule="auto"/>
            <w:jc w:val="center"/>
          </w:pPr>
          <w:r>
            <w:rPr>
              <w:noProof/>
            </w:rPr>
            <w:drawing>
              <wp:inline distT="0" distB="0" distL="0" distR="0" wp14:anchorId="6372FED4" wp14:editId="4DA6FD81">
                <wp:extent cx="786765" cy="664210"/>
                <wp:effectExtent l="0" t="0" r="0" b="2540"/>
                <wp:docPr id="459074007" name="Picture 45907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664210"/>
                        </a:xfrm>
                        <a:prstGeom prst="rect">
                          <a:avLst/>
                        </a:prstGeom>
                        <a:noFill/>
                      </pic:spPr>
                    </pic:pic>
                  </a:graphicData>
                </a:graphic>
              </wp:inline>
            </w:drawing>
          </w:r>
        </w:p>
      </w:tc>
    </w:tr>
    <w:tr w:rsidR="003A5230" w14:paraId="201C4032" w14:textId="77777777" w:rsidTr="00A15776">
      <w:trPr>
        <w:jc w:val="center"/>
      </w:trPr>
      <w:tc>
        <w:tcPr>
          <w:tcW w:w="3182" w:type="dxa"/>
        </w:tcPr>
        <w:p w14:paraId="2B14FBB6" w14:textId="77777777" w:rsidR="003A5230" w:rsidRPr="00CD772B" w:rsidRDefault="003A5230" w:rsidP="003A5230">
          <w:pPr>
            <w:spacing w:line="259" w:lineRule="auto"/>
            <w:jc w:val="center"/>
            <w:rPr>
              <w:rFonts w:asciiTheme="majorHAnsi" w:eastAsia="Arial" w:hAnsiTheme="majorHAnsi" w:cs="Arial"/>
              <w:b/>
              <w:color w:val="2F5496"/>
            </w:rPr>
          </w:pPr>
          <w:r w:rsidRPr="00CD772B">
            <w:rPr>
              <w:rFonts w:asciiTheme="majorHAnsi" w:eastAsia="Arial" w:hAnsiTheme="majorHAnsi" w:cs="Arial"/>
              <w:b/>
              <w:color w:val="2F5496"/>
            </w:rPr>
            <w:t>Финансирано от Европейския съюз</w:t>
          </w:r>
        </w:p>
        <w:p w14:paraId="5F0949B6" w14:textId="77777777" w:rsidR="003A5230" w:rsidRPr="00CD772B" w:rsidRDefault="003A5230" w:rsidP="003A5230">
          <w:pPr>
            <w:spacing w:line="259" w:lineRule="auto"/>
            <w:jc w:val="center"/>
            <w:rPr>
              <w:rFonts w:asciiTheme="majorHAnsi" w:eastAsia="Calibri" w:hAnsiTheme="majorHAnsi" w:cs="Calibri"/>
              <w:noProof/>
              <w:sz w:val="22"/>
              <w:lang w:val="en-GB" w:eastAsia="en-GB"/>
            </w:rPr>
          </w:pPr>
          <w:r w:rsidRPr="00CD772B">
            <w:rPr>
              <w:rFonts w:asciiTheme="majorHAnsi" w:eastAsia="Candara" w:hAnsiTheme="majorHAnsi" w:cs="Candara"/>
              <w:b/>
              <w:color w:val="323E4F"/>
            </w:rPr>
            <w:t>СледващоПоколениеЕС</w:t>
          </w:r>
        </w:p>
      </w:tc>
      <w:tc>
        <w:tcPr>
          <w:tcW w:w="3183" w:type="dxa"/>
        </w:tcPr>
        <w:p w14:paraId="025DA7BC" w14:textId="77777777" w:rsidR="003A5230" w:rsidRPr="00CD772B" w:rsidRDefault="003A5230" w:rsidP="003A5230">
          <w:pPr>
            <w:spacing w:line="259" w:lineRule="auto"/>
            <w:jc w:val="center"/>
            <w:rPr>
              <w:rFonts w:asciiTheme="majorHAnsi" w:hAnsiTheme="majorHAnsi"/>
            </w:rPr>
          </w:pPr>
          <w:r w:rsidRPr="00CD772B">
            <w:rPr>
              <w:rFonts w:asciiTheme="majorHAnsi" w:eastAsia="Arial" w:hAnsiTheme="majorHAnsi" w:cs="Arial"/>
              <w:b/>
            </w:rPr>
            <w:t>План за възстановяване и устойчивост</w:t>
          </w:r>
        </w:p>
      </w:tc>
      <w:tc>
        <w:tcPr>
          <w:tcW w:w="3274" w:type="dxa"/>
        </w:tcPr>
        <w:p w14:paraId="5DF877E4" w14:textId="77777777" w:rsidR="003A5230" w:rsidRPr="00CD772B" w:rsidRDefault="003A5230" w:rsidP="003A5230">
          <w:pPr>
            <w:spacing w:line="259" w:lineRule="auto"/>
            <w:jc w:val="center"/>
            <w:rPr>
              <w:rFonts w:asciiTheme="majorHAnsi" w:hAnsiTheme="majorHAnsi"/>
            </w:rPr>
          </w:pPr>
          <w:r w:rsidRPr="00CD772B">
            <w:rPr>
              <w:rFonts w:asciiTheme="majorHAnsi" w:eastAsia="Arial" w:hAnsiTheme="majorHAnsi" w:cs="Arial"/>
              <w:b/>
            </w:rPr>
            <w:t>Република България</w:t>
          </w:r>
        </w:p>
      </w:tc>
    </w:tr>
    <w:bookmarkEnd w:id="1"/>
  </w:tbl>
  <w:p w14:paraId="5A130B61" w14:textId="427AA498" w:rsidR="00061D97" w:rsidRPr="00A15776" w:rsidRDefault="00061D97" w:rsidP="00A15776">
    <w:pPr>
      <w:pStyle w:val="Header"/>
      <w:pBdr>
        <w:bottom w:val="single" w:sz="8" w:space="1" w:color="2E74B5"/>
      </w:pBdr>
      <w:rPr>
        <w:sz w:val="12"/>
        <w:szCs w:val="12"/>
      </w:rPr>
    </w:pPr>
  </w:p>
  <w:p w14:paraId="4E5F7D41" w14:textId="77777777" w:rsidR="00EF2A1D" w:rsidRPr="00A15776" w:rsidRDefault="00EF2A1D">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6AC"/>
    <w:multiLevelType w:val="multilevel"/>
    <w:tmpl w:val="A7D897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C2107EB"/>
    <w:multiLevelType w:val="hybridMultilevel"/>
    <w:tmpl w:val="C4DE2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D6FEC"/>
    <w:multiLevelType w:val="hybridMultilevel"/>
    <w:tmpl w:val="CB4EF078"/>
    <w:lvl w:ilvl="0" w:tplc="AAA4F67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F164919"/>
    <w:multiLevelType w:val="hybridMultilevel"/>
    <w:tmpl w:val="0F5A4C3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F5D5BF7"/>
    <w:multiLevelType w:val="hybridMultilevel"/>
    <w:tmpl w:val="9D6C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5322F"/>
    <w:multiLevelType w:val="hybridMultilevel"/>
    <w:tmpl w:val="58D43E44"/>
    <w:lvl w:ilvl="0" w:tplc="540601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25CC4CC8"/>
    <w:multiLevelType w:val="hybridMultilevel"/>
    <w:tmpl w:val="B60216A4"/>
    <w:lvl w:ilvl="0" w:tplc="8124A96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105"/>
    <w:multiLevelType w:val="hybridMultilevel"/>
    <w:tmpl w:val="700AA3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26515BC"/>
    <w:multiLevelType w:val="hybridMultilevel"/>
    <w:tmpl w:val="2CA41676"/>
    <w:lvl w:ilvl="0" w:tplc="4A6EEB7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0C6E85"/>
    <w:multiLevelType w:val="hybridMultilevel"/>
    <w:tmpl w:val="882697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F8F0B57"/>
    <w:multiLevelType w:val="hybridMultilevel"/>
    <w:tmpl w:val="67048670"/>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4B9E2456"/>
    <w:multiLevelType w:val="hybridMultilevel"/>
    <w:tmpl w:val="6C5469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30062B2"/>
    <w:multiLevelType w:val="hybridMultilevel"/>
    <w:tmpl w:val="D728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231BD"/>
    <w:multiLevelType w:val="singleLevel"/>
    <w:tmpl w:val="AAFE65E4"/>
    <w:lvl w:ilvl="0">
      <w:start w:val="22"/>
      <w:numFmt w:val="decimal"/>
      <w:lvlText w:val="%1."/>
      <w:lvlJc w:val="left"/>
      <w:pPr>
        <w:ind w:left="0" w:firstLine="0"/>
      </w:pPr>
      <w:rPr>
        <w:rFonts w:ascii="Times New Roman" w:hAnsi="Times New Roman" w:cs="Times New Roman" w:hint="default"/>
      </w:rPr>
    </w:lvl>
  </w:abstractNum>
  <w:abstractNum w:abstractNumId="14" w15:restartNumberingAfterBreak="0">
    <w:nsid w:val="69203B1D"/>
    <w:multiLevelType w:val="hybridMultilevel"/>
    <w:tmpl w:val="2582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B2384"/>
    <w:multiLevelType w:val="hybridMultilevel"/>
    <w:tmpl w:val="5EF079B2"/>
    <w:lvl w:ilvl="0" w:tplc="191A39B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76AD0AA3"/>
    <w:multiLevelType w:val="hybridMultilevel"/>
    <w:tmpl w:val="693EC52C"/>
    <w:lvl w:ilvl="0" w:tplc="4A6EEB7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794A5872"/>
    <w:multiLevelType w:val="hybridMultilevel"/>
    <w:tmpl w:val="A10E14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9521ED9"/>
    <w:multiLevelType w:val="hybridMultilevel"/>
    <w:tmpl w:val="4DE0D8DE"/>
    <w:lvl w:ilvl="0" w:tplc="4A6EEB7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7B373A7E"/>
    <w:multiLevelType w:val="hybridMultilevel"/>
    <w:tmpl w:val="00703B9C"/>
    <w:lvl w:ilvl="0" w:tplc="B7805D48">
      <w:start w:val="1"/>
      <w:numFmt w:val="decimal"/>
      <w:lvlText w:val="%1."/>
      <w:lvlJc w:val="left"/>
      <w:pPr>
        <w:ind w:left="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DA804C">
      <w:start w:val="1"/>
      <w:numFmt w:val="decimal"/>
      <w:lvlText w:val="%2."/>
      <w:lvlJc w:val="left"/>
      <w:pPr>
        <w:ind w:left="12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9DA0BC2">
      <w:start w:val="1"/>
      <w:numFmt w:val="lowerRoman"/>
      <w:lvlText w:val="%3"/>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9925908">
      <w:start w:val="1"/>
      <w:numFmt w:val="decimal"/>
      <w:lvlText w:val="%4"/>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9F04E22">
      <w:start w:val="1"/>
      <w:numFmt w:val="lowerLetter"/>
      <w:lvlText w:val="%5"/>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2ECE4E">
      <w:start w:val="1"/>
      <w:numFmt w:val="lowerRoman"/>
      <w:lvlText w:val="%6"/>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CB68EFC">
      <w:start w:val="1"/>
      <w:numFmt w:val="decimal"/>
      <w:lvlText w:val="%7"/>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828EA6C">
      <w:start w:val="1"/>
      <w:numFmt w:val="lowerLetter"/>
      <w:lvlText w:val="%8"/>
      <w:lvlJc w:val="left"/>
      <w:pPr>
        <w:ind w:left="5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4A96D6">
      <w:start w:val="1"/>
      <w:numFmt w:val="lowerRoman"/>
      <w:lvlText w:val="%9"/>
      <w:lvlJc w:val="left"/>
      <w:pPr>
        <w:ind w:left="6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5"/>
  </w:num>
  <w:num w:numId="2">
    <w:abstractNumId w:val="2"/>
  </w:num>
  <w:num w:numId="3">
    <w:abstractNumId w:val="11"/>
  </w:num>
  <w:num w:numId="4">
    <w:abstractNumId w:val="8"/>
  </w:num>
  <w:num w:numId="5">
    <w:abstractNumId w:val="17"/>
  </w:num>
  <w:num w:numId="6">
    <w:abstractNumId w:val="16"/>
  </w:num>
  <w:num w:numId="7">
    <w:abstractNumId w:val="18"/>
  </w:num>
  <w:num w:numId="8">
    <w:abstractNumId w:val="10"/>
  </w:num>
  <w:num w:numId="9">
    <w:abstractNumId w:val="3"/>
  </w:num>
  <w:num w:numId="10">
    <w:abstractNumId w:val="12"/>
  </w:num>
  <w:num w:numId="11">
    <w:abstractNumId w:val="13"/>
  </w:num>
  <w:num w:numId="12">
    <w:abstractNumId w:val="13"/>
    <w:lvlOverride w:ilvl="0">
      <w:lvl w:ilvl="0">
        <w:start w:val="30"/>
        <w:numFmt w:val="decimal"/>
        <w:lvlText w:val="%1."/>
        <w:legacy w:legacy="1" w:legacySpace="0" w:legacyIndent="442"/>
        <w:lvlJc w:val="left"/>
        <w:rPr>
          <w:rFonts w:ascii="Times New Roman" w:hAnsi="Times New Roman" w:cs="Times New Roman" w:hint="default"/>
        </w:rPr>
      </w:lvl>
    </w:lvlOverride>
  </w:num>
  <w:num w:numId="13">
    <w:abstractNumId w:val="14"/>
  </w:num>
  <w:num w:numId="14">
    <w:abstractNumId w:val="9"/>
  </w:num>
  <w:num w:numId="15">
    <w:abstractNumId w:val="7"/>
  </w:num>
  <w:num w:numId="16">
    <w:abstractNumId w:val="1"/>
  </w:num>
  <w:num w:numId="17">
    <w:abstractNumId w:val="15"/>
  </w:num>
  <w:num w:numId="18">
    <w:abstractNumId w:val="4"/>
  </w:num>
  <w:num w:numId="19">
    <w:abstractNumId w:val="19"/>
  </w:num>
  <w:num w:numId="20">
    <w:abstractNumId w:val="19"/>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20259"/>
    <w:rsid w:val="000264D1"/>
    <w:rsid w:val="0002719C"/>
    <w:rsid w:val="00027841"/>
    <w:rsid w:val="00034AC1"/>
    <w:rsid w:val="000470DF"/>
    <w:rsid w:val="00047DDE"/>
    <w:rsid w:val="00061D97"/>
    <w:rsid w:val="00062C95"/>
    <w:rsid w:val="0006716F"/>
    <w:rsid w:val="00086656"/>
    <w:rsid w:val="00090DCA"/>
    <w:rsid w:val="000A57B3"/>
    <w:rsid w:val="000B7E9B"/>
    <w:rsid w:val="000C4D47"/>
    <w:rsid w:val="000F1A76"/>
    <w:rsid w:val="001073C8"/>
    <w:rsid w:val="00115361"/>
    <w:rsid w:val="00116473"/>
    <w:rsid w:val="00127AB7"/>
    <w:rsid w:val="00127D83"/>
    <w:rsid w:val="00127EDD"/>
    <w:rsid w:val="001370D5"/>
    <w:rsid w:val="00156C0B"/>
    <w:rsid w:val="0016198D"/>
    <w:rsid w:val="001728DB"/>
    <w:rsid w:val="001A4900"/>
    <w:rsid w:val="001C3837"/>
    <w:rsid w:val="001C5EA5"/>
    <w:rsid w:val="001D051A"/>
    <w:rsid w:val="001D2606"/>
    <w:rsid w:val="001F499F"/>
    <w:rsid w:val="001F577F"/>
    <w:rsid w:val="00203DE3"/>
    <w:rsid w:val="002373DE"/>
    <w:rsid w:val="00264925"/>
    <w:rsid w:val="002673D8"/>
    <w:rsid w:val="002677A8"/>
    <w:rsid w:val="00277A0E"/>
    <w:rsid w:val="00281C22"/>
    <w:rsid w:val="00285A16"/>
    <w:rsid w:val="002A0379"/>
    <w:rsid w:val="002C5A74"/>
    <w:rsid w:val="002D2494"/>
    <w:rsid w:val="002E047F"/>
    <w:rsid w:val="00302EC6"/>
    <w:rsid w:val="00314C79"/>
    <w:rsid w:val="00332DA2"/>
    <w:rsid w:val="00334F1C"/>
    <w:rsid w:val="003429B8"/>
    <w:rsid w:val="0034595B"/>
    <w:rsid w:val="00350E41"/>
    <w:rsid w:val="00356342"/>
    <w:rsid w:val="00360B2B"/>
    <w:rsid w:val="0036364A"/>
    <w:rsid w:val="00371D53"/>
    <w:rsid w:val="00382CF8"/>
    <w:rsid w:val="00385CD8"/>
    <w:rsid w:val="0039138A"/>
    <w:rsid w:val="00391B2C"/>
    <w:rsid w:val="00394067"/>
    <w:rsid w:val="003A0D8C"/>
    <w:rsid w:val="003A3856"/>
    <w:rsid w:val="003A5230"/>
    <w:rsid w:val="003C432F"/>
    <w:rsid w:val="003E1C0E"/>
    <w:rsid w:val="003F18F4"/>
    <w:rsid w:val="004025EE"/>
    <w:rsid w:val="004031DC"/>
    <w:rsid w:val="00431DB4"/>
    <w:rsid w:val="00437205"/>
    <w:rsid w:val="00472C48"/>
    <w:rsid w:val="004849BB"/>
    <w:rsid w:val="00497D0C"/>
    <w:rsid w:val="004A4164"/>
    <w:rsid w:val="004A5300"/>
    <w:rsid w:val="004B439A"/>
    <w:rsid w:val="004B4F17"/>
    <w:rsid w:val="004C7BF5"/>
    <w:rsid w:val="004D0702"/>
    <w:rsid w:val="004D597A"/>
    <w:rsid w:val="004D71DB"/>
    <w:rsid w:val="004E09B2"/>
    <w:rsid w:val="004E514C"/>
    <w:rsid w:val="0050372C"/>
    <w:rsid w:val="00560B5F"/>
    <w:rsid w:val="00562595"/>
    <w:rsid w:val="00567EA7"/>
    <w:rsid w:val="00575600"/>
    <w:rsid w:val="00580ACE"/>
    <w:rsid w:val="005827E8"/>
    <w:rsid w:val="00584438"/>
    <w:rsid w:val="005973C4"/>
    <w:rsid w:val="005A0D8C"/>
    <w:rsid w:val="005A1F41"/>
    <w:rsid w:val="005A62D7"/>
    <w:rsid w:val="005C38B4"/>
    <w:rsid w:val="005D4C1F"/>
    <w:rsid w:val="005E09FE"/>
    <w:rsid w:val="00600629"/>
    <w:rsid w:val="00621F39"/>
    <w:rsid w:val="00645F71"/>
    <w:rsid w:val="0065193E"/>
    <w:rsid w:val="00653A43"/>
    <w:rsid w:val="00672130"/>
    <w:rsid w:val="00675BD6"/>
    <w:rsid w:val="00685566"/>
    <w:rsid w:val="006A6626"/>
    <w:rsid w:val="006B3733"/>
    <w:rsid w:val="006B7C00"/>
    <w:rsid w:val="006C0C36"/>
    <w:rsid w:val="006C2956"/>
    <w:rsid w:val="006D79DD"/>
    <w:rsid w:val="006E004F"/>
    <w:rsid w:val="006E7DBC"/>
    <w:rsid w:val="006F17B3"/>
    <w:rsid w:val="006F2FFC"/>
    <w:rsid w:val="006F6EE1"/>
    <w:rsid w:val="00703A39"/>
    <w:rsid w:val="00706589"/>
    <w:rsid w:val="00713782"/>
    <w:rsid w:val="0072104C"/>
    <w:rsid w:val="00730FC7"/>
    <w:rsid w:val="00733DD2"/>
    <w:rsid w:val="00734D81"/>
    <w:rsid w:val="00737897"/>
    <w:rsid w:val="00760ED5"/>
    <w:rsid w:val="007739DF"/>
    <w:rsid w:val="007870DB"/>
    <w:rsid w:val="007A1774"/>
    <w:rsid w:val="007B3FAC"/>
    <w:rsid w:val="007B4B65"/>
    <w:rsid w:val="007C3DAD"/>
    <w:rsid w:val="007D16D9"/>
    <w:rsid w:val="007D4511"/>
    <w:rsid w:val="007E386B"/>
    <w:rsid w:val="007F455D"/>
    <w:rsid w:val="007F5A18"/>
    <w:rsid w:val="007F6119"/>
    <w:rsid w:val="00817503"/>
    <w:rsid w:val="008377E3"/>
    <w:rsid w:val="008410F2"/>
    <w:rsid w:val="0084651C"/>
    <w:rsid w:val="00847486"/>
    <w:rsid w:val="00851077"/>
    <w:rsid w:val="008525CF"/>
    <w:rsid w:val="00853927"/>
    <w:rsid w:val="008541B8"/>
    <w:rsid w:val="00857C8D"/>
    <w:rsid w:val="00864A0E"/>
    <w:rsid w:val="008651F9"/>
    <w:rsid w:val="00871C94"/>
    <w:rsid w:val="00886DA0"/>
    <w:rsid w:val="008B5028"/>
    <w:rsid w:val="008C7B57"/>
    <w:rsid w:val="008D397F"/>
    <w:rsid w:val="008D44CA"/>
    <w:rsid w:val="008D7BC6"/>
    <w:rsid w:val="008E15A4"/>
    <w:rsid w:val="008F1A86"/>
    <w:rsid w:val="008F1D55"/>
    <w:rsid w:val="008F4691"/>
    <w:rsid w:val="009076FD"/>
    <w:rsid w:val="0091381B"/>
    <w:rsid w:val="00917358"/>
    <w:rsid w:val="009179FE"/>
    <w:rsid w:val="009247A3"/>
    <w:rsid w:val="009263D1"/>
    <w:rsid w:val="00947825"/>
    <w:rsid w:val="009527FF"/>
    <w:rsid w:val="00954B1F"/>
    <w:rsid w:val="00957235"/>
    <w:rsid w:val="009605B2"/>
    <w:rsid w:val="00965A04"/>
    <w:rsid w:val="00972BF3"/>
    <w:rsid w:val="009815CC"/>
    <w:rsid w:val="009A54D0"/>
    <w:rsid w:val="009B6739"/>
    <w:rsid w:val="009C65CA"/>
    <w:rsid w:val="009D2F44"/>
    <w:rsid w:val="009D448D"/>
    <w:rsid w:val="009E3521"/>
    <w:rsid w:val="009E630C"/>
    <w:rsid w:val="009F43BC"/>
    <w:rsid w:val="009F676A"/>
    <w:rsid w:val="00A15776"/>
    <w:rsid w:val="00A300A0"/>
    <w:rsid w:val="00A3709E"/>
    <w:rsid w:val="00A45599"/>
    <w:rsid w:val="00A835A9"/>
    <w:rsid w:val="00A856D9"/>
    <w:rsid w:val="00AA57C1"/>
    <w:rsid w:val="00AB1B28"/>
    <w:rsid w:val="00AD45EA"/>
    <w:rsid w:val="00AD49ED"/>
    <w:rsid w:val="00AE387F"/>
    <w:rsid w:val="00AF35AE"/>
    <w:rsid w:val="00B026F2"/>
    <w:rsid w:val="00B11A58"/>
    <w:rsid w:val="00B236F5"/>
    <w:rsid w:val="00B23CBF"/>
    <w:rsid w:val="00B24E71"/>
    <w:rsid w:val="00B2781A"/>
    <w:rsid w:val="00B43223"/>
    <w:rsid w:val="00B613B6"/>
    <w:rsid w:val="00B61481"/>
    <w:rsid w:val="00B627C4"/>
    <w:rsid w:val="00B8473A"/>
    <w:rsid w:val="00B84DB8"/>
    <w:rsid w:val="00B90B46"/>
    <w:rsid w:val="00B92B58"/>
    <w:rsid w:val="00BA7FDD"/>
    <w:rsid w:val="00BB7DC2"/>
    <w:rsid w:val="00BC0125"/>
    <w:rsid w:val="00BC5C21"/>
    <w:rsid w:val="00BE0EB5"/>
    <w:rsid w:val="00BE4F42"/>
    <w:rsid w:val="00C038B1"/>
    <w:rsid w:val="00C038BB"/>
    <w:rsid w:val="00C12ECE"/>
    <w:rsid w:val="00C16E1F"/>
    <w:rsid w:val="00C27957"/>
    <w:rsid w:val="00C5450D"/>
    <w:rsid w:val="00C5580A"/>
    <w:rsid w:val="00CB3CCF"/>
    <w:rsid w:val="00CC2E7E"/>
    <w:rsid w:val="00CC493B"/>
    <w:rsid w:val="00CD772B"/>
    <w:rsid w:val="00D00CAD"/>
    <w:rsid w:val="00D04A01"/>
    <w:rsid w:val="00D20DC3"/>
    <w:rsid w:val="00D21B89"/>
    <w:rsid w:val="00D2510E"/>
    <w:rsid w:val="00D32690"/>
    <w:rsid w:val="00D375BA"/>
    <w:rsid w:val="00D37D04"/>
    <w:rsid w:val="00D476D8"/>
    <w:rsid w:val="00D52766"/>
    <w:rsid w:val="00DA778E"/>
    <w:rsid w:val="00DB1636"/>
    <w:rsid w:val="00E57588"/>
    <w:rsid w:val="00E665A5"/>
    <w:rsid w:val="00E72328"/>
    <w:rsid w:val="00E74BF0"/>
    <w:rsid w:val="00E76842"/>
    <w:rsid w:val="00EA41A0"/>
    <w:rsid w:val="00EB038A"/>
    <w:rsid w:val="00EB4935"/>
    <w:rsid w:val="00EE4EC4"/>
    <w:rsid w:val="00EE5E43"/>
    <w:rsid w:val="00EF06E1"/>
    <w:rsid w:val="00EF2A1D"/>
    <w:rsid w:val="00F07E02"/>
    <w:rsid w:val="00F416F1"/>
    <w:rsid w:val="00F41CD1"/>
    <w:rsid w:val="00F72319"/>
    <w:rsid w:val="00F73C7A"/>
    <w:rsid w:val="00F74561"/>
    <w:rsid w:val="00FA124C"/>
    <w:rsid w:val="00FA1BFA"/>
    <w:rsid w:val="00FA1F68"/>
    <w:rsid w:val="00FD3359"/>
    <w:rsid w:val="00FD58EF"/>
    <w:rsid w:val="00FE2C39"/>
    <w:rsid w:val="00FF08DA"/>
    <w:rsid w:val="00FF4B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FB102"/>
  <w15:docId w15:val="{F8BFE482-A2CE-4AB6-B1CC-158328EE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F2A1D"/>
    <w:pPr>
      <w:keepNext/>
      <w:keepLines/>
      <w:numPr>
        <w:numId w:val="22"/>
      </w:numPr>
      <w:spacing w:before="120" w:after="120"/>
      <w:ind w:left="431" w:hanging="431"/>
      <w:outlineLvl w:val="0"/>
    </w:pPr>
    <w:rPr>
      <w:rFonts w:asciiTheme="majorHAnsi" w:eastAsiaTheme="minorHAnsi" w:hAnsiTheme="majorHAnsi" w:cstheme="majorBidi"/>
      <w:b/>
      <w:bCs/>
      <w:sz w:val="28"/>
      <w:szCs w:val="28"/>
      <w:lang w:eastAsia="en-US"/>
    </w:rPr>
  </w:style>
  <w:style w:type="paragraph" w:styleId="Heading2">
    <w:name w:val="heading 2"/>
    <w:basedOn w:val="Normal"/>
    <w:next w:val="Normal"/>
    <w:link w:val="Heading2Char"/>
    <w:semiHidden/>
    <w:unhideWhenUsed/>
    <w:qFormat/>
    <w:rsid w:val="00EF2A1D"/>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F2A1D"/>
    <w:pPr>
      <w:keepNext/>
      <w:keepLines/>
      <w:numPr>
        <w:ilvl w:val="2"/>
        <w:numId w:val="2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F2A1D"/>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F2A1D"/>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F2A1D"/>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F2A1D"/>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F2A1D"/>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F2A1D"/>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uiPriority w:val="99"/>
    <w:rsid w:val="004E09B2"/>
    <w:rPr>
      <w:color w:val="0000FF" w:themeColor="hyperlink"/>
      <w:u w:val="single"/>
    </w:rPr>
  </w:style>
  <w:style w:type="paragraph" w:styleId="ListParagraph">
    <w:name w:val="List Paragraph"/>
    <w:basedOn w:val="Normal"/>
    <w:uiPriority w:val="34"/>
    <w:qFormat/>
    <w:rsid w:val="00D00CAD"/>
    <w:pPr>
      <w:ind w:left="720"/>
      <w:contextualSpacing/>
    </w:pPr>
  </w:style>
  <w:style w:type="table" w:styleId="TableGrid">
    <w:name w:val="Table Grid"/>
    <w:basedOn w:val="TableNormal"/>
    <w:rsid w:val="00D0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972BF3"/>
    <w:rPr>
      <w:rFonts w:ascii="Times New Roman" w:hAnsi="Times New Roman" w:cs="Times New Roman"/>
      <w:sz w:val="22"/>
      <w:szCs w:val="22"/>
    </w:rPr>
  </w:style>
  <w:style w:type="paragraph" w:customStyle="1" w:styleId="Style14">
    <w:name w:val="Style14"/>
    <w:basedOn w:val="Normal"/>
    <w:uiPriority w:val="99"/>
    <w:rsid w:val="00567EA7"/>
    <w:pPr>
      <w:widowControl w:val="0"/>
      <w:autoSpaceDE w:val="0"/>
      <w:autoSpaceDN w:val="0"/>
      <w:adjustRightInd w:val="0"/>
      <w:spacing w:line="413" w:lineRule="exact"/>
      <w:ind w:firstLine="874"/>
      <w:jc w:val="both"/>
    </w:pPr>
  </w:style>
  <w:style w:type="paragraph" w:customStyle="1" w:styleId="Style12">
    <w:name w:val="Style12"/>
    <w:basedOn w:val="Normal"/>
    <w:uiPriority w:val="99"/>
    <w:rsid w:val="00567EA7"/>
    <w:pPr>
      <w:widowControl w:val="0"/>
      <w:autoSpaceDE w:val="0"/>
      <w:autoSpaceDN w:val="0"/>
      <w:adjustRightInd w:val="0"/>
      <w:spacing w:line="422" w:lineRule="exact"/>
      <w:ind w:firstLine="370"/>
      <w:jc w:val="both"/>
    </w:pPr>
  </w:style>
  <w:style w:type="paragraph" w:styleId="Revision">
    <w:name w:val="Revision"/>
    <w:hidden/>
    <w:uiPriority w:val="99"/>
    <w:semiHidden/>
    <w:rsid w:val="00A300A0"/>
    <w:rPr>
      <w:sz w:val="24"/>
      <w:szCs w:val="24"/>
    </w:rPr>
  </w:style>
  <w:style w:type="character" w:customStyle="1" w:styleId="UnresolvedMention">
    <w:name w:val="Unresolved Mention"/>
    <w:basedOn w:val="DefaultParagraphFont"/>
    <w:uiPriority w:val="99"/>
    <w:semiHidden/>
    <w:unhideWhenUsed/>
    <w:rsid w:val="00EF2A1D"/>
    <w:rPr>
      <w:color w:val="605E5C"/>
      <w:shd w:val="clear" w:color="auto" w:fill="E1DFDD"/>
    </w:rPr>
  </w:style>
  <w:style w:type="character" w:customStyle="1" w:styleId="Heading1Char">
    <w:name w:val="Heading 1 Char"/>
    <w:basedOn w:val="DefaultParagraphFont"/>
    <w:link w:val="Heading1"/>
    <w:rsid w:val="00EF2A1D"/>
    <w:rPr>
      <w:rFonts w:asciiTheme="majorHAnsi" w:eastAsiaTheme="minorHAnsi" w:hAnsiTheme="majorHAnsi" w:cstheme="majorBidi"/>
      <w:b/>
      <w:bCs/>
      <w:sz w:val="28"/>
      <w:szCs w:val="28"/>
      <w:lang w:eastAsia="en-US"/>
    </w:rPr>
  </w:style>
  <w:style w:type="character" w:customStyle="1" w:styleId="Heading2Char">
    <w:name w:val="Heading 2 Char"/>
    <w:basedOn w:val="DefaultParagraphFont"/>
    <w:link w:val="Heading2"/>
    <w:semiHidden/>
    <w:rsid w:val="00EF2A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F2A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F2A1D"/>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F2A1D"/>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F2A1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F2A1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F2A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F2A1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semiHidden/>
    <w:unhideWhenUsed/>
    <w:rsid w:val="001370D5"/>
    <w:rPr>
      <w:sz w:val="16"/>
      <w:szCs w:val="16"/>
    </w:rPr>
  </w:style>
  <w:style w:type="paragraph" w:styleId="CommentText">
    <w:name w:val="annotation text"/>
    <w:basedOn w:val="Normal"/>
    <w:link w:val="CommentTextChar"/>
    <w:semiHidden/>
    <w:unhideWhenUsed/>
    <w:rsid w:val="001370D5"/>
    <w:rPr>
      <w:sz w:val="20"/>
      <w:szCs w:val="20"/>
    </w:rPr>
  </w:style>
  <w:style w:type="character" w:customStyle="1" w:styleId="CommentTextChar">
    <w:name w:val="Comment Text Char"/>
    <w:basedOn w:val="DefaultParagraphFont"/>
    <w:link w:val="CommentText"/>
    <w:semiHidden/>
    <w:rsid w:val="001370D5"/>
  </w:style>
  <w:style w:type="paragraph" w:styleId="CommentSubject">
    <w:name w:val="annotation subject"/>
    <w:basedOn w:val="CommentText"/>
    <w:next w:val="CommentText"/>
    <w:link w:val="CommentSubjectChar"/>
    <w:semiHidden/>
    <w:unhideWhenUsed/>
    <w:rsid w:val="001370D5"/>
    <w:rPr>
      <w:b/>
      <w:bCs/>
    </w:rPr>
  </w:style>
  <w:style w:type="character" w:customStyle="1" w:styleId="CommentSubjectChar">
    <w:name w:val="Comment Subject Char"/>
    <w:basedOn w:val="CommentTextChar"/>
    <w:link w:val="CommentSubject"/>
    <w:semiHidden/>
    <w:rsid w:val="001370D5"/>
    <w:rPr>
      <w:b/>
      <w:bCs/>
    </w:rPr>
  </w:style>
  <w:style w:type="character" w:styleId="FollowedHyperlink">
    <w:name w:val="FollowedHyperlink"/>
    <w:basedOn w:val="DefaultParagraphFont"/>
    <w:semiHidden/>
    <w:unhideWhenUsed/>
    <w:rsid w:val="007F4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6014">
      <w:bodyDiv w:val="1"/>
      <w:marLeft w:val="0"/>
      <w:marRight w:val="0"/>
      <w:marTop w:val="0"/>
      <w:marBottom w:val="0"/>
      <w:divBdr>
        <w:top w:val="none" w:sz="0" w:space="0" w:color="auto"/>
        <w:left w:val="none" w:sz="0" w:space="0" w:color="auto"/>
        <w:bottom w:val="none" w:sz="0" w:space="0" w:color="auto"/>
        <w:right w:val="none" w:sz="0" w:space="0" w:color="auto"/>
      </w:divBdr>
    </w:div>
    <w:div w:id="611060168">
      <w:bodyDiv w:val="1"/>
      <w:marLeft w:val="0"/>
      <w:marRight w:val="0"/>
      <w:marTop w:val="0"/>
      <w:marBottom w:val="0"/>
      <w:divBdr>
        <w:top w:val="none" w:sz="0" w:space="0" w:color="auto"/>
        <w:left w:val="none" w:sz="0" w:space="0" w:color="auto"/>
        <w:bottom w:val="none" w:sz="0" w:space="0" w:color="auto"/>
        <w:right w:val="none" w:sz="0" w:space="0" w:color="auto"/>
      </w:divBdr>
    </w:div>
    <w:div w:id="1018241099">
      <w:bodyDiv w:val="1"/>
      <w:marLeft w:val="0"/>
      <w:marRight w:val="0"/>
      <w:marTop w:val="0"/>
      <w:marBottom w:val="0"/>
      <w:divBdr>
        <w:top w:val="none" w:sz="0" w:space="0" w:color="auto"/>
        <w:left w:val="none" w:sz="0" w:space="0" w:color="auto"/>
        <w:bottom w:val="none" w:sz="0" w:space="0" w:color="auto"/>
        <w:right w:val="none" w:sz="0" w:space="0" w:color="auto"/>
      </w:divBdr>
    </w:div>
    <w:div w:id="13639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lcheva@cu.bas.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vu.bas.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vu.bas.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vu_ban@cu.bas.bg" TargetMode="External"/><Relationship Id="rId4" Type="http://schemas.openxmlformats.org/officeDocument/2006/relationships/settings" Target="settings.xml"/><Relationship Id="rId9" Type="http://schemas.openxmlformats.org/officeDocument/2006/relationships/hyperlink" Target="http://www.bas.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7767-BD0C-48E0-ADD2-FE4A79D2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Милена Виденова</dc:creator>
  <cp:lastModifiedBy>BAN_SND</cp:lastModifiedBy>
  <cp:revision>4</cp:revision>
  <cp:lastPrinted>2023-12-09T10:10:00Z</cp:lastPrinted>
  <dcterms:created xsi:type="dcterms:W3CDTF">2023-12-11T07:43:00Z</dcterms:created>
  <dcterms:modified xsi:type="dcterms:W3CDTF">2023-12-11T13:14:00Z</dcterms:modified>
</cp:coreProperties>
</file>