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49E56" w14:textId="77777777" w:rsidR="00F748EB" w:rsidRPr="00725EB1" w:rsidRDefault="00F748EB" w:rsidP="00F748EB">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mallCaps/>
          <w:noProof/>
          <w:sz w:val="28"/>
          <w:szCs w:val="28"/>
          <w:lang w:val="bg-BG" w:bidi="ar-SA"/>
        </w:rPr>
        <w:t xml:space="preserve">ДОГОВОР </w:t>
      </w:r>
      <w:r w:rsidRPr="00725EB1">
        <w:rPr>
          <w:rFonts w:ascii="Cambria" w:eastAsia="Times New Roman" w:hAnsi="Cambria" w:cs="Times New Roman"/>
          <w:b/>
          <w:caps/>
          <w:sz w:val="28"/>
          <w:szCs w:val="28"/>
          <w:lang w:val="bg-BG" w:bidi="ar-SA"/>
        </w:rPr>
        <w:t>за финансиране</w:t>
      </w:r>
      <w:r w:rsidRPr="00725EB1">
        <w:rPr>
          <w:rFonts w:ascii="Cambria" w:eastAsia="Times New Roman" w:hAnsi="Cambria" w:cs="Times New Roman"/>
          <w:b/>
          <w:sz w:val="28"/>
          <w:szCs w:val="28"/>
          <w:lang w:val="bg-BG" w:bidi="ar-SA"/>
        </w:rPr>
        <w:t xml:space="preserve"> </w:t>
      </w:r>
    </w:p>
    <w:p w14:paraId="0E52C285" w14:textId="77777777" w:rsidR="003C603C" w:rsidRPr="00725EB1" w:rsidRDefault="003C603C" w:rsidP="003C603C">
      <w:pPr>
        <w:tabs>
          <w:tab w:val="left" w:pos="-1701"/>
          <w:tab w:val="left" w:pos="-1560"/>
        </w:tabs>
        <w:spacing w:after="120" w:line="240" w:lineRule="auto"/>
        <w:jc w:val="center"/>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w:t>
      </w:r>
      <w:r w:rsidRPr="00725EB1">
        <w:rPr>
          <w:rFonts w:ascii="Cambria" w:eastAsia="Times New Roman" w:hAnsi="Cambria" w:cs="Times New Roman"/>
          <w:i/>
          <w:sz w:val="23"/>
          <w:szCs w:val="23"/>
          <w:lang w:val="bg-BG" w:bidi="ar-SA"/>
        </w:rPr>
        <w:t>Идентификационен номер на договора за финансиране</w:t>
      </w:r>
      <w:r w:rsidRPr="00725EB1">
        <w:rPr>
          <w:rFonts w:ascii="Cambria" w:eastAsia="Times New Roman" w:hAnsi="Cambria" w:cs="Times New Roman"/>
          <w:b/>
          <w:sz w:val="23"/>
          <w:szCs w:val="23"/>
          <w:lang w:val="bg-BG" w:bidi="ar-SA"/>
        </w:rPr>
        <w:t>]</w:t>
      </w:r>
    </w:p>
    <w:p w14:paraId="1B63DCEA" w14:textId="77777777" w:rsidR="003C603C" w:rsidRDefault="003C603C" w:rsidP="00F748EB">
      <w:pPr>
        <w:spacing w:before="120" w:after="120" w:line="240" w:lineRule="auto"/>
        <w:jc w:val="center"/>
        <w:rPr>
          <w:rFonts w:ascii="Cambria" w:eastAsia="Times New Roman" w:hAnsi="Cambria" w:cs="Times New Roman"/>
          <w:b/>
          <w:sz w:val="28"/>
          <w:szCs w:val="28"/>
          <w:lang w:val="bg-BG" w:bidi="ar-SA"/>
        </w:rPr>
      </w:pPr>
    </w:p>
    <w:p w14:paraId="549B2494" w14:textId="77777777" w:rsidR="00F748EB" w:rsidRPr="00725EB1" w:rsidRDefault="00F748EB" w:rsidP="00F748EB">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z w:val="28"/>
          <w:szCs w:val="28"/>
          <w:lang w:val="bg-BG" w:bidi="ar-SA"/>
        </w:rPr>
        <w:t xml:space="preserve">от Механизма за възстановяване и устойчивост за изпълнение на инвестиция по C2I2 „Повишаване на иновационния капацитет на Българската академия на науките (БАН) в сферата на зелените и цифровите технологии“ от Плана за възстановяване и устойчивост </w:t>
      </w:r>
    </w:p>
    <w:p w14:paraId="5ED72BB6" w14:textId="77777777" w:rsidR="00F748EB" w:rsidRPr="00725EB1" w:rsidRDefault="00F748EB" w:rsidP="00F748EB">
      <w:pPr>
        <w:spacing w:after="0" w:line="240" w:lineRule="auto"/>
        <w:jc w:val="center"/>
        <w:rPr>
          <w:rFonts w:ascii="Cambria" w:eastAsia="Times New Roman" w:hAnsi="Cambria" w:cs="Times New Roman"/>
          <w:b/>
          <w:sz w:val="24"/>
          <w:szCs w:val="20"/>
          <w:lang w:val="bg-BG" w:bidi="ar-SA"/>
        </w:rPr>
      </w:pPr>
    </w:p>
    <w:p w14:paraId="58E29710" w14:textId="77777777" w:rsidR="00F748EB" w:rsidRPr="00725EB1" w:rsidRDefault="00F748EB" w:rsidP="00F748EB">
      <w:pPr>
        <w:spacing w:after="120" w:line="240" w:lineRule="auto"/>
        <w:rPr>
          <w:rFonts w:ascii="Cambria" w:eastAsia="Times New Roman" w:hAnsi="Cambria" w:cs="Times New Roman"/>
          <w:sz w:val="23"/>
          <w:szCs w:val="23"/>
          <w:lang w:val="bg-BG" w:bidi="ar-SA"/>
        </w:rPr>
      </w:pPr>
    </w:p>
    <w:p w14:paraId="07CA393A" w14:textId="77777777" w:rsidR="00F748EB" w:rsidRPr="00E91C01" w:rsidRDefault="00F748EB" w:rsidP="00F748EB">
      <w:pPr>
        <w:spacing w:after="120" w:line="240" w:lineRule="auto"/>
        <w:rPr>
          <w:rFonts w:ascii="Cambria" w:eastAsia="Times New Roman" w:hAnsi="Cambria" w:cs="Times New Roman"/>
          <w:sz w:val="23"/>
          <w:szCs w:val="23"/>
          <w:lang w:val="en-GB" w:bidi="ar-SA"/>
        </w:rPr>
      </w:pPr>
      <w:r w:rsidRPr="00E91C01">
        <w:rPr>
          <w:rFonts w:ascii="Cambria" w:eastAsia="Times New Roman" w:hAnsi="Cambria" w:cs="Times New Roman"/>
          <w:sz w:val="23"/>
          <w:szCs w:val="23"/>
          <w:lang w:val="bg-BG" w:bidi="ar-SA"/>
        </w:rPr>
        <w:t>Долуподписаните страни:</w:t>
      </w:r>
    </w:p>
    <w:p w14:paraId="74021592"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p>
    <w:p w14:paraId="0F028864"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color w:val="000000"/>
          <w:sz w:val="23"/>
          <w:szCs w:val="23"/>
          <w:lang w:val="bg-BG" w:bidi="ar-SA"/>
        </w:rPr>
        <w:t xml:space="preserve">1. …………………………………., в качеството й/му на </w:t>
      </w:r>
      <w:r w:rsidRPr="00E91C01">
        <w:rPr>
          <w:rFonts w:ascii="Cambria" w:eastAsia="Times New Roman" w:hAnsi="Cambria" w:cs="Times New Roman"/>
          <w:sz w:val="23"/>
          <w:szCs w:val="23"/>
          <w:lang w:val="bg-BG" w:bidi="ar-SA"/>
        </w:rPr>
        <w:t xml:space="preserve">Ръководител на Структурата за наблюдение и докладване („СНД“) по Механизма за възстановяване и устойчивост (МВУ) на ЕС, създаден с Регламент (ЕС) 2021/241, в Българска академия на науките с адрес  София, 1040, ул. „15 ноември“ №1, </w:t>
      </w:r>
      <w:r w:rsidRPr="00E91C01">
        <w:rPr>
          <w:rFonts w:ascii="Cambria" w:eastAsia="Times New Roman" w:hAnsi="Cambria" w:cs="Times New Roman"/>
          <w:i/>
          <w:sz w:val="23"/>
          <w:szCs w:val="23"/>
          <w:lang w:val="bg-BG" w:bidi="ar-SA"/>
        </w:rPr>
        <w:t>определена за СНД</w:t>
      </w:r>
      <w:r w:rsidRPr="00E91C01">
        <w:rPr>
          <w:rFonts w:ascii="Cambria" w:eastAsia="Times New Roman" w:hAnsi="Cambria" w:cs="Times New Roman"/>
          <w:sz w:val="23"/>
          <w:szCs w:val="23"/>
          <w:lang w:val="bg-BG" w:bidi="ar-SA"/>
        </w:rPr>
        <w:t xml:space="preserve">, </w:t>
      </w:r>
    </w:p>
    <w:p w14:paraId="6F370BAA"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E91C01">
        <w:rPr>
          <w:rFonts w:ascii="Cambria" w:eastAsia="Times New Roman" w:hAnsi="Cambria" w:cs="Times New Roman"/>
          <w:sz w:val="23"/>
          <w:szCs w:val="23"/>
          <w:lang w:val="bg-BG" w:bidi="ar-SA"/>
        </w:rPr>
        <w:t xml:space="preserve">наричан/а по-нататък </w:t>
      </w:r>
      <w:r w:rsidRPr="00E91C01">
        <w:rPr>
          <w:rFonts w:ascii="Cambria" w:eastAsia="Times New Roman" w:hAnsi="Cambria" w:cs="Times New Roman"/>
          <w:color w:val="000000"/>
          <w:sz w:val="23"/>
          <w:szCs w:val="23"/>
          <w:lang w:val="bg-BG" w:bidi="ar-SA"/>
        </w:rPr>
        <w:t xml:space="preserve">„Ръководител на СНД” или само „СНД“, </w:t>
      </w:r>
    </w:p>
    <w:p w14:paraId="2DC76076" w14:textId="77777777" w:rsidR="00F748EB" w:rsidRPr="00E91C01" w:rsidRDefault="00F748EB" w:rsidP="00F748EB">
      <w:pPr>
        <w:autoSpaceDE w:val="0"/>
        <w:autoSpaceDN w:val="0"/>
        <w:adjustRightInd w:val="0"/>
        <w:spacing w:after="120" w:line="240" w:lineRule="auto"/>
        <w:rPr>
          <w:rFonts w:ascii="Cambria" w:eastAsia="Times New Roman" w:hAnsi="Cambria" w:cs="Times New Roman"/>
          <w:color w:val="000000"/>
          <w:sz w:val="23"/>
          <w:szCs w:val="23"/>
          <w:lang w:val="bg-BG" w:bidi="ar-SA"/>
        </w:rPr>
      </w:pPr>
      <w:r w:rsidRPr="00E91C01">
        <w:rPr>
          <w:rFonts w:ascii="Cambria" w:eastAsia="Times New Roman" w:hAnsi="Cambria" w:cs="Times New Roman"/>
          <w:color w:val="000000"/>
          <w:sz w:val="23"/>
          <w:szCs w:val="23"/>
          <w:lang w:val="bg-BG" w:bidi="ar-SA"/>
        </w:rPr>
        <w:t xml:space="preserve">от една страна, </w:t>
      </w:r>
    </w:p>
    <w:p w14:paraId="54CC5154"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E91C01">
        <w:rPr>
          <w:rFonts w:ascii="Cambria" w:eastAsia="Times New Roman" w:hAnsi="Cambria" w:cs="Times New Roman"/>
          <w:color w:val="000000"/>
          <w:sz w:val="23"/>
          <w:szCs w:val="23"/>
          <w:lang w:val="bg-BG" w:bidi="ar-SA"/>
        </w:rPr>
        <w:t xml:space="preserve">и </w:t>
      </w:r>
    </w:p>
    <w:p w14:paraId="3D58E1C7"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2. [Пълно наименование на крайния получател съгласно регистрацията му]</w:t>
      </w:r>
    </w:p>
    <w:p w14:paraId="15DA561A"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[Седалище и адрес на управление]</w:t>
      </w:r>
    </w:p>
    <w:p w14:paraId="7425EFDF"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[ЕИК или еквивалентен официален регистрационен номер],</w:t>
      </w:r>
    </w:p>
    <w:p w14:paraId="6E702257" w14:textId="77777777" w:rsidR="00F748EB" w:rsidRPr="00E91C01" w:rsidRDefault="00F748EB" w:rsidP="00F748EB">
      <w:pPr>
        <w:autoSpaceDE w:val="0"/>
        <w:autoSpaceDN w:val="0"/>
        <w:adjustRightInd w:val="0"/>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color w:val="000000"/>
          <w:sz w:val="23"/>
          <w:szCs w:val="23"/>
          <w:lang w:val="bg-BG" w:bidi="ar-SA"/>
        </w:rPr>
        <w:t>наричан по-нататък “</w:t>
      </w:r>
      <w:r w:rsidRPr="00E91C01">
        <w:rPr>
          <w:rFonts w:ascii="Cambria" w:eastAsia="Times New Roman" w:hAnsi="Cambria" w:cs="Times New Roman"/>
          <w:bCs/>
          <w:color w:val="000000"/>
          <w:sz w:val="23"/>
          <w:szCs w:val="23"/>
          <w:lang w:val="bg-BG" w:bidi="ar-SA"/>
        </w:rPr>
        <w:t>Краен получател на средства от МВУ</w:t>
      </w:r>
      <w:r w:rsidRPr="00E91C01">
        <w:rPr>
          <w:rFonts w:ascii="Cambria" w:eastAsia="Times New Roman" w:hAnsi="Cambria" w:cs="Times New Roman"/>
          <w:color w:val="000000"/>
          <w:sz w:val="23"/>
          <w:szCs w:val="23"/>
          <w:lang w:val="bg-BG" w:bidi="ar-SA"/>
        </w:rPr>
        <w:t xml:space="preserve">” или само „Краен получател“, </w:t>
      </w:r>
      <w:r w:rsidRPr="00E91C01">
        <w:rPr>
          <w:rFonts w:ascii="Cambria" w:eastAsia="Times New Roman" w:hAnsi="Cambria" w:cs="Times New Roman"/>
          <w:sz w:val="23"/>
          <w:szCs w:val="23"/>
          <w:lang w:val="bg-BG" w:bidi="ar-SA"/>
        </w:rPr>
        <w:t xml:space="preserve">от друга страна, </w:t>
      </w:r>
    </w:p>
    <w:p w14:paraId="5EE245D6" w14:textId="55375539" w:rsidR="00F748EB" w:rsidRPr="00E91C01" w:rsidRDefault="00F748EB" w:rsidP="00F748EB">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във връзка с постъпило  предложение за изпълнение на инвестиция по Националния план за възстановяване и устойчивост (ПВУ) C2I2: Повишаване на иновационния капацитет на Българската академия на науките (БАН) в сферата на зелените и цифровите технологии в Информационната система за Плана за възстановяване и устойчивост (ИС за ПВУ) по процедура за подбор на предложения за изпълнение на инвестиции от крайни получатели [код </w:t>
      </w:r>
      <w:r>
        <w:rPr>
          <w:rFonts w:ascii="Cambria" w:eastAsia="Times New Roman" w:hAnsi="Cambria" w:cs="Times New Roman"/>
          <w:sz w:val="23"/>
          <w:szCs w:val="23"/>
          <w:lang w:val="bg-BG" w:bidi="ar-SA"/>
        </w:rPr>
        <w:t>П</w:t>
      </w:r>
      <w:r w:rsidRPr="00F748EB">
        <w:rPr>
          <w:rFonts w:ascii="Cambria" w:eastAsia="Times New Roman" w:hAnsi="Cambria" w:cs="Times New Roman"/>
          <w:sz w:val="23"/>
          <w:szCs w:val="23"/>
          <w:lang w:val="bg-BG" w:bidi="ar-SA"/>
        </w:rPr>
        <w:t>одпомагане на патентната дейност на звената на БАН</w:t>
      </w:r>
      <w:r w:rsidRPr="00E91C01">
        <w:rPr>
          <w:rFonts w:ascii="Cambria" w:eastAsia="Times New Roman" w:hAnsi="Cambria" w:cs="Times New Roman"/>
          <w:sz w:val="23"/>
          <w:szCs w:val="23"/>
          <w:lang w:val="bg-BG" w:bidi="ar-SA"/>
        </w:rPr>
        <w:t>] и т. .. от Решение [номер и дата на решението] на Ръководителя на СНД за предоставяне на средства от Механизма за възстановяване и устойчивост (МВУ) по чл. 20, ал. 1 от ПМС № 114/2022,  се споразумяха за следното:</w:t>
      </w:r>
    </w:p>
    <w:p w14:paraId="299E01AE" w14:textId="77777777" w:rsidR="00F748EB" w:rsidRPr="00E91C01" w:rsidRDefault="00F748EB" w:rsidP="00F748EB">
      <w:pPr>
        <w:spacing w:after="120" w:line="240" w:lineRule="auto"/>
        <w:ind w:left="567" w:hanging="567"/>
        <w:jc w:val="both"/>
        <w:rPr>
          <w:rFonts w:ascii="Cambria" w:eastAsia="Times New Roman" w:hAnsi="Cambria" w:cs="Times New Roman"/>
          <w:sz w:val="23"/>
          <w:szCs w:val="23"/>
          <w:lang w:val="bg-BG" w:bidi="ar-SA"/>
        </w:rPr>
      </w:pPr>
    </w:p>
    <w:p w14:paraId="2DB32902"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Член 1. Предмет</w:t>
      </w:r>
    </w:p>
    <w:tbl>
      <w:tblPr>
        <w:tblW w:w="0" w:type="auto"/>
        <w:tblInd w:w="-34" w:type="dxa"/>
        <w:tblLook w:val="04A0" w:firstRow="1" w:lastRow="0" w:firstColumn="1" w:lastColumn="0" w:noHBand="0" w:noVBand="1"/>
      </w:tblPr>
      <w:tblGrid>
        <w:gridCol w:w="568"/>
        <w:gridCol w:w="8930"/>
      </w:tblGrid>
      <w:tr w:rsidR="00F748EB" w:rsidRPr="00E91C01" w14:paraId="42C8AC6F" w14:textId="77777777" w:rsidTr="00E04610">
        <w:tc>
          <w:tcPr>
            <w:tcW w:w="568" w:type="dxa"/>
            <w:shd w:val="clear" w:color="auto" w:fill="auto"/>
          </w:tcPr>
          <w:p w14:paraId="4D38FF6D"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1.1.</w:t>
            </w:r>
          </w:p>
        </w:tc>
        <w:tc>
          <w:tcPr>
            <w:tcW w:w="8930" w:type="dxa"/>
            <w:shd w:val="clear" w:color="auto" w:fill="auto"/>
          </w:tcPr>
          <w:p w14:paraId="1EABE04D"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 xml:space="preserve">Ръководителят на СНД предоставя на Крайния получател безвъзмездно </w:t>
            </w:r>
            <w:r w:rsidRPr="00E91C01">
              <w:rPr>
                <w:rFonts w:ascii="Cambria" w:hAnsi="Cambria"/>
                <w:sz w:val="23"/>
                <w:szCs w:val="23"/>
                <w:lang w:val="bg-BG"/>
              </w:rPr>
              <w:lastRenderedPageBreak/>
              <w:t>финансиране за изпълнение на инвестиция [наименование и номер в ИС за ПВУ] („одобрената инвестиция“ или само „инвестицията“) от ПВУ, финансиран по МВУ,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tc>
      </w:tr>
      <w:tr w:rsidR="00F748EB" w:rsidRPr="00E91C01" w14:paraId="1C81CF67" w14:textId="77777777" w:rsidTr="00E04610">
        <w:tc>
          <w:tcPr>
            <w:tcW w:w="568" w:type="dxa"/>
            <w:shd w:val="clear" w:color="auto" w:fill="auto"/>
          </w:tcPr>
          <w:p w14:paraId="278BFC96"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lastRenderedPageBreak/>
              <w:t>1.2.</w:t>
            </w:r>
          </w:p>
        </w:tc>
        <w:tc>
          <w:tcPr>
            <w:tcW w:w="8930" w:type="dxa"/>
            <w:shd w:val="clear" w:color="auto" w:fill="auto"/>
          </w:tcPr>
          <w:p w14:paraId="4065CD4D"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Безвъзмездното финансиране се предоставя съгласно условията на този договор и приложенията към него, които крайният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F748EB" w:rsidRPr="00E91C01" w14:paraId="4A4CF75E" w14:textId="77777777" w:rsidTr="00E04610">
        <w:tc>
          <w:tcPr>
            <w:tcW w:w="568" w:type="dxa"/>
            <w:shd w:val="clear" w:color="auto" w:fill="auto"/>
          </w:tcPr>
          <w:p w14:paraId="3AFE6062"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1.3.</w:t>
            </w:r>
          </w:p>
        </w:tc>
        <w:tc>
          <w:tcPr>
            <w:tcW w:w="8930" w:type="dxa"/>
            <w:shd w:val="clear" w:color="auto" w:fill="auto"/>
          </w:tcPr>
          <w:p w14:paraId="4BC471C2"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Окончателният размер на безвъзмездното финансиране се определя при спазване на разпоредбите на чл. 11 и чл.12  от Приложение II.</w:t>
            </w:r>
          </w:p>
        </w:tc>
      </w:tr>
      <w:tr w:rsidR="00F748EB" w:rsidRPr="00E91C01" w14:paraId="60783CE9" w14:textId="77777777" w:rsidTr="00E04610">
        <w:tc>
          <w:tcPr>
            <w:tcW w:w="568" w:type="dxa"/>
            <w:shd w:val="clear" w:color="auto" w:fill="auto"/>
          </w:tcPr>
          <w:p w14:paraId="05BAAD77"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1.4.</w:t>
            </w:r>
          </w:p>
        </w:tc>
        <w:tc>
          <w:tcPr>
            <w:tcW w:w="8930" w:type="dxa"/>
            <w:shd w:val="clear" w:color="auto" w:fill="auto"/>
          </w:tcPr>
          <w:p w14:paraId="659D5950"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В случай на партньорство, Крайният получател е длъжен да предостави на партньора  по Проекта достъп до ИСУН 2020 чрез функционалността „Вход с код за достъп“ с права за преглед на всичко, свързано с Проекта и изпълнението на настоящия договор.</w:t>
            </w:r>
          </w:p>
        </w:tc>
      </w:tr>
    </w:tbl>
    <w:p w14:paraId="7FC5913B" w14:textId="77777777" w:rsidR="00F748EB" w:rsidRPr="00E91C01" w:rsidRDefault="00F748EB" w:rsidP="00F748EB">
      <w:pPr>
        <w:spacing w:after="120" w:line="240" w:lineRule="auto"/>
        <w:jc w:val="both"/>
        <w:rPr>
          <w:rFonts w:ascii="Cambria" w:eastAsia="Times New Roman" w:hAnsi="Cambria" w:cs="Times New Roman"/>
          <w:sz w:val="23"/>
          <w:szCs w:val="23"/>
          <w:u w:val="single"/>
          <w:lang w:val="bg-BG" w:bidi="ar-SA"/>
        </w:rPr>
      </w:pPr>
    </w:p>
    <w:p w14:paraId="5961756D"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2. Влизане в сила на договора и срок на изпълнение на инвестицията </w:t>
      </w:r>
    </w:p>
    <w:p w14:paraId="0AE2AD25" w14:textId="77777777" w:rsidR="00F748EB" w:rsidRPr="003C603C" w:rsidRDefault="00F748EB" w:rsidP="00F748EB">
      <w:pPr>
        <w:spacing w:after="12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2.1.   Настоящият договор влиза в сила от деня на подписването му от двете страни или от датата на поставяне на последния подпис </w:t>
      </w:r>
      <w:r w:rsidRPr="003C603C">
        <w:rPr>
          <w:rFonts w:ascii="Cambria" w:eastAsia="Times New Roman" w:hAnsi="Cambria" w:cs="Times New Roman"/>
          <w:sz w:val="23"/>
          <w:szCs w:val="23"/>
          <w:lang w:val="bg-BG" w:bidi="ar-SA"/>
        </w:rPr>
        <w:t>от страните.</w:t>
      </w:r>
      <w:bookmarkStart w:id="0" w:name="_GoBack"/>
      <w:bookmarkEnd w:id="0"/>
    </w:p>
    <w:p w14:paraId="3519100D" w14:textId="160F5790" w:rsidR="00F748EB" w:rsidRPr="00E91C01" w:rsidRDefault="00F748EB" w:rsidP="00F748EB">
      <w:pPr>
        <w:spacing w:after="120" w:line="240" w:lineRule="auto"/>
        <w:jc w:val="both"/>
        <w:rPr>
          <w:rFonts w:ascii="Cambria" w:eastAsia="Times New Roman" w:hAnsi="Cambria" w:cs="Times New Roman"/>
          <w:sz w:val="23"/>
          <w:szCs w:val="23"/>
          <w:lang w:val="bg-BG" w:bidi="ar-SA"/>
        </w:rPr>
      </w:pPr>
      <w:r w:rsidRPr="003C603C">
        <w:rPr>
          <w:rFonts w:ascii="Cambria" w:eastAsia="Times New Roman" w:hAnsi="Cambria" w:cs="Times New Roman"/>
          <w:sz w:val="23"/>
          <w:szCs w:val="23"/>
          <w:lang w:val="bg-BG" w:bidi="ar-SA"/>
        </w:rPr>
        <w:t>2.2.     Срокът на изпълнение на инвестицията е  до 3</w:t>
      </w:r>
      <w:r w:rsidR="00E43152">
        <w:rPr>
          <w:rFonts w:ascii="Cambria" w:eastAsia="Times New Roman" w:hAnsi="Cambria" w:cs="Times New Roman"/>
          <w:sz w:val="23"/>
          <w:szCs w:val="23"/>
          <w:lang w:bidi="ar-SA"/>
        </w:rPr>
        <w:t>1</w:t>
      </w:r>
      <w:r w:rsidRPr="003C603C">
        <w:rPr>
          <w:rFonts w:ascii="Cambria" w:eastAsia="Times New Roman" w:hAnsi="Cambria" w:cs="Times New Roman"/>
          <w:sz w:val="23"/>
          <w:szCs w:val="23"/>
          <w:lang w:val="bg-BG" w:bidi="ar-SA"/>
        </w:rPr>
        <w:t>.05.2026 г.</w:t>
      </w:r>
    </w:p>
    <w:p w14:paraId="1D8991A0" w14:textId="77777777" w:rsidR="00F748EB" w:rsidRPr="00E91C01" w:rsidRDefault="00F748EB" w:rsidP="00F748EB">
      <w:pPr>
        <w:spacing w:after="120" w:line="240" w:lineRule="auto"/>
        <w:ind w:left="567" w:hanging="2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ab/>
      </w:r>
    </w:p>
    <w:p w14:paraId="41A464DE" w14:textId="77777777" w:rsidR="00F748EB" w:rsidRPr="00CC39AE"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CC39AE">
        <w:rPr>
          <w:rFonts w:ascii="Cambria" w:eastAsia="Times New Roman" w:hAnsi="Cambria" w:cs="Times New Roman"/>
          <w:b/>
          <w:sz w:val="23"/>
          <w:szCs w:val="23"/>
          <w:lang w:val="bg-BG" w:bidi="ar-SA"/>
        </w:rPr>
        <w:t>Член 3. Държавна помощ</w:t>
      </w:r>
    </w:p>
    <w:tbl>
      <w:tblPr>
        <w:tblW w:w="9498" w:type="dxa"/>
        <w:tblInd w:w="108" w:type="dxa"/>
        <w:tblLook w:val="04A0" w:firstRow="1" w:lastRow="0" w:firstColumn="1" w:lastColumn="0" w:noHBand="0" w:noVBand="1"/>
      </w:tblPr>
      <w:tblGrid>
        <w:gridCol w:w="567"/>
        <w:gridCol w:w="8931"/>
      </w:tblGrid>
      <w:tr w:rsidR="00F748EB" w:rsidRPr="00CC39AE" w14:paraId="2DF03C63" w14:textId="77777777" w:rsidTr="00CC39AE">
        <w:tc>
          <w:tcPr>
            <w:tcW w:w="567" w:type="dxa"/>
            <w:shd w:val="clear" w:color="auto" w:fill="auto"/>
          </w:tcPr>
          <w:p w14:paraId="5ABE65E6"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55580CCF" w14:textId="77777777" w:rsidR="00F748EB" w:rsidRPr="00CC39AE" w:rsidRDefault="00F748EB" w:rsidP="00E04610">
            <w:pPr>
              <w:spacing w:after="120" w:line="240" w:lineRule="auto"/>
              <w:ind w:left="37"/>
              <w:jc w:val="both"/>
              <w:rPr>
                <w:rFonts w:ascii="Cambria" w:eastAsia="Times New Roman" w:hAnsi="Cambria" w:cs="Times New Roman"/>
                <w:sz w:val="23"/>
                <w:szCs w:val="23"/>
                <w:lang w:val="bg-BG" w:bidi="ar-SA"/>
              </w:rPr>
            </w:pPr>
            <w:r w:rsidRPr="00CC39AE">
              <w:rPr>
                <w:rFonts w:ascii="Cambria" w:eastAsia="Times New Roman" w:hAnsi="Cambria" w:cs="Times New Roman"/>
                <w:sz w:val="23"/>
                <w:szCs w:val="23"/>
                <w:lang w:val="bg-BG" w:bidi="ar-SA"/>
              </w:rPr>
              <w:t>Безвъзмездното финансиране по този договор не представлява държавна помощ по см. на чл. 107, пар. 1 от Договора за функциониране на Европейския съюз.</w:t>
            </w:r>
          </w:p>
        </w:tc>
      </w:tr>
      <w:tr w:rsidR="00F748EB" w:rsidRPr="00CC39AE" w14:paraId="4699D685" w14:textId="77777777" w:rsidTr="00CC39AE">
        <w:tc>
          <w:tcPr>
            <w:tcW w:w="567" w:type="dxa"/>
            <w:shd w:val="clear" w:color="auto" w:fill="auto"/>
          </w:tcPr>
          <w:p w14:paraId="74497DF9"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4272BBC2" w14:textId="77777777"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Безвъзмездното финансиране по този договор се реализира при спазване на условията на чл. 19 и чл. 21 от Рамката за държавна помощ за научни изследвания, развитие и иновации (C(2022) 7388 final /19.10.2022 г.).</w:t>
            </w:r>
          </w:p>
        </w:tc>
      </w:tr>
      <w:tr w:rsidR="00F748EB" w:rsidRPr="00CC39AE" w14:paraId="2734BF35" w14:textId="77777777" w:rsidTr="00CC39AE">
        <w:tc>
          <w:tcPr>
            <w:tcW w:w="567" w:type="dxa"/>
            <w:shd w:val="clear" w:color="auto" w:fill="auto"/>
          </w:tcPr>
          <w:p w14:paraId="16C78C61"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00611379" w14:textId="54957C48" w:rsidR="00F748EB" w:rsidRPr="00CC39AE" w:rsidRDefault="00F330B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Придобитите</w:t>
            </w:r>
            <w:r w:rsidR="00F748EB" w:rsidRPr="00CC39AE">
              <w:rPr>
                <w:rFonts w:ascii="Cambria" w:hAnsi="Cambria"/>
                <w:sz w:val="23"/>
                <w:szCs w:val="23"/>
                <w:lang w:val="bg-BG"/>
              </w:rPr>
              <w:t xml:space="preserve"> </w:t>
            </w:r>
            <w:r w:rsidRPr="00CC39AE">
              <w:rPr>
                <w:rFonts w:ascii="Cambria" w:hAnsi="Cambria"/>
                <w:sz w:val="23"/>
                <w:szCs w:val="23"/>
                <w:lang w:val="bg-BG"/>
              </w:rPr>
              <w:t xml:space="preserve">със средства от Механизма за възстановяване и устойчивост </w:t>
            </w:r>
            <w:r w:rsidR="00F748EB" w:rsidRPr="00CC39AE">
              <w:rPr>
                <w:rFonts w:ascii="Cambria" w:hAnsi="Cambria"/>
                <w:sz w:val="23"/>
                <w:szCs w:val="23"/>
                <w:lang w:val="bg-BG"/>
              </w:rPr>
              <w:t xml:space="preserve">дълготрайни нематериални активи </w:t>
            </w:r>
            <w:r w:rsidRPr="00CC39AE">
              <w:rPr>
                <w:rFonts w:ascii="Cambria" w:hAnsi="Cambria"/>
                <w:sz w:val="23"/>
                <w:szCs w:val="23"/>
                <w:lang w:val="bg-BG"/>
              </w:rPr>
              <w:t xml:space="preserve"> - издадени патент и/или регистрирани полезни модели </w:t>
            </w:r>
            <w:r w:rsidR="00F748EB" w:rsidRPr="00CC39AE">
              <w:rPr>
                <w:rFonts w:ascii="Cambria" w:hAnsi="Cambria"/>
                <w:sz w:val="23"/>
                <w:szCs w:val="23"/>
                <w:lang w:val="bg-BG"/>
              </w:rPr>
              <w:t xml:space="preserve">ще бъдат използвани при условията на </w:t>
            </w:r>
            <w:r w:rsidR="00F65E29" w:rsidRPr="00CC39AE">
              <w:rPr>
                <w:rFonts w:ascii="Cambria" w:hAnsi="Cambria"/>
                <w:sz w:val="23"/>
                <w:szCs w:val="23"/>
                <w:lang w:val="bg-BG"/>
              </w:rPr>
              <w:t>т</w:t>
            </w:r>
            <w:r w:rsidR="00F748EB" w:rsidRPr="00CC39AE">
              <w:rPr>
                <w:rFonts w:ascii="Cambria" w:eastAsia="Times New Roman" w:hAnsi="Cambria" w:cs="Times New Roman"/>
                <w:bCs/>
                <w:sz w:val="23"/>
                <w:szCs w:val="23"/>
                <w:lang w:val="bg-BG" w:bidi="ar-SA"/>
              </w:rPr>
              <w:t>. 2</w:t>
            </w:r>
            <w:r w:rsidRPr="00CC39AE">
              <w:rPr>
                <w:rFonts w:ascii="Cambria" w:eastAsia="Times New Roman" w:hAnsi="Cambria" w:cs="Times New Roman"/>
                <w:bCs/>
                <w:sz w:val="23"/>
                <w:szCs w:val="23"/>
                <w:lang w:val="bg-BG" w:bidi="ar-SA"/>
              </w:rPr>
              <w:t>8 и 29</w:t>
            </w:r>
            <w:r w:rsidR="00F748EB" w:rsidRPr="00CC39AE">
              <w:rPr>
                <w:rFonts w:ascii="Cambria" w:eastAsia="Times New Roman" w:hAnsi="Cambria" w:cs="Times New Roman"/>
                <w:bCs/>
                <w:sz w:val="23"/>
                <w:szCs w:val="23"/>
                <w:lang w:val="bg-BG" w:bidi="ar-SA"/>
              </w:rPr>
              <w:t xml:space="preserve"> от Рамката </w:t>
            </w:r>
            <w:r w:rsidR="00F65E29" w:rsidRPr="00CC39AE">
              <w:rPr>
                <w:rFonts w:ascii="Cambria" w:eastAsia="Times New Roman" w:hAnsi="Cambria" w:cs="Times New Roman"/>
                <w:bCs/>
                <w:sz w:val="23"/>
                <w:szCs w:val="23"/>
                <w:lang w:val="bg-BG" w:bidi="ar-SA"/>
              </w:rPr>
              <w:t>до прекратяване на действието на патента/прекратяване на действието на регистрацията на полезния модел.</w:t>
            </w:r>
          </w:p>
        </w:tc>
      </w:tr>
      <w:tr w:rsidR="00F748EB" w:rsidRPr="00CC39AE" w14:paraId="5DC7427B" w14:textId="77777777" w:rsidTr="00CC39AE">
        <w:tc>
          <w:tcPr>
            <w:tcW w:w="567" w:type="dxa"/>
            <w:shd w:val="clear" w:color="auto" w:fill="auto"/>
          </w:tcPr>
          <w:p w14:paraId="2D981B37" w14:textId="77777777" w:rsidR="00F748EB" w:rsidRPr="00CC39AE" w:rsidRDefault="00F748EB"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3F58CF5E" w14:textId="77777777"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В срок до 30 юни на всяка календарна година, СНД ще изисква ГФО, приложенията към него, както и други финансови документи и справки, и ще извършва проверка за спазване на изискванията на т. 19 и 21 от Рамката за държавна помощ за научни изследвания, развитие и иновации за установяването на:</w:t>
            </w:r>
          </w:p>
          <w:p w14:paraId="4D182070" w14:textId="18EB0B11"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спазването на изискването делът на икономическите дейности да не превишава размера от 20 % от общ</w:t>
            </w:r>
            <w:r w:rsidR="003C603C">
              <w:rPr>
                <w:rFonts w:ascii="Cambria" w:eastAsia="Times New Roman" w:hAnsi="Cambria" w:cs="Times New Roman"/>
                <w:bCs/>
                <w:sz w:val="23"/>
                <w:szCs w:val="23"/>
                <w:lang w:val="bg-BG" w:bidi="ar-SA"/>
              </w:rPr>
              <w:t>ия годишен капацитет на субекта;</w:t>
            </w:r>
          </w:p>
          <w:p w14:paraId="31A159FB" w14:textId="515AB8B3"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дали</w:t>
            </w:r>
            <w:r w:rsidRPr="00CC39AE">
              <w:rPr>
                <w:rFonts w:ascii="Cambria" w:hAnsi="Cambria"/>
                <w:sz w:val="23"/>
                <w:szCs w:val="23"/>
              </w:rPr>
              <w:t xml:space="preserve"> </w:t>
            </w:r>
            <w:r w:rsidRPr="00CC39AE">
              <w:rPr>
                <w:rFonts w:ascii="Cambria" w:hAnsi="Cambria"/>
                <w:sz w:val="23"/>
                <w:szCs w:val="23"/>
                <w:lang w:val="bg-BG"/>
              </w:rPr>
              <w:t xml:space="preserve">извършваните </w:t>
            </w:r>
            <w:r w:rsidRPr="00CC39AE">
              <w:rPr>
                <w:rFonts w:ascii="Cambria" w:eastAsia="Times New Roman" w:hAnsi="Cambria" w:cs="Times New Roman"/>
                <w:bCs/>
                <w:sz w:val="23"/>
                <w:szCs w:val="23"/>
                <w:lang w:val="bg-BG" w:bidi="ar-SA"/>
              </w:rPr>
              <w:t>разходи, получените финансирания и приходи са ясно разделени по иконо</w:t>
            </w:r>
            <w:r w:rsidR="003C603C">
              <w:rPr>
                <w:rFonts w:ascii="Cambria" w:eastAsia="Times New Roman" w:hAnsi="Cambria" w:cs="Times New Roman"/>
                <w:bCs/>
                <w:sz w:val="23"/>
                <w:szCs w:val="23"/>
                <w:lang w:val="bg-BG" w:bidi="ar-SA"/>
              </w:rPr>
              <w:t>мически неикономически дейности;</w:t>
            </w:r>
            <w:r w:rsidRPr="00CC39AE">
              <w:rPr>
                <w:rFonts w:ascii="Cambria" w:eastAsia="Times New Roman" w:hAnsi="Cambria" w:cs="Times New Roman"/>
                <w:bCs/>
                <w:sz w:val="23"/>
                <w:szCs w:val="23"/>
                <w:lang w:val="bg-BG" w:bidi="ar-SA"/>
              </w:rPr>
              <w:t xml:space="preserve"> </w:t>
            </w:r>
          </w:p>
          <w:p w14:paraId="1605BE3D" w14:textId="5EFC9819" w:rsidR="00F748EB"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икономическите дейности да потребяват точно същите ресурси (материали, оборудване, труд и постоянен капитал) като извърш</w:t>
            </w:r>
            <w:r w:rsidR="003C603C">
              <w:rPr>
                <w:rFonts w:ascii="Cambria" w:eastAsia="Times New Roman" w:hAnsi="Cambria" w:cs="Times New Roman"/>
                <w:bCs/>
                <w:sz w:val="23"/>
                <w:szCs w:val="23"/>
                <w:lang w:val="bg-BG" w:bidi="ar-SA"/>
              </w:rPr>
              <w:t>ваните неикономически дейности;</w:t>
            </w:r>
          </w:p>
          <w:p w14:paraId="7BE00FB3" w14:textId="75956146" w:rsidR="00F65E29" w:rsidRPr="00CC39AE" w:rsidRDefault="00F748EB" w:rsidP="00E04610">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дали всяка една изпълнена дейност през годината е определена правилно като </w:t>
            </w:r>
            <w:r w:rsidRPr="00CC39AE">
              <w:rPr>
                <w:rFonts w:ascii="Cambria" w:eastAsia="Times New Roman" w:hAnsi="Cambria" w:cs="Times New Roman"/>
                <w:bCs/>
                <w:sz w:val="23"/>
                <w:szCs w:val="23"/>
                <w:lang w:val="bg-BG" w:bidi="ar-SA"/>
              </w:rPr>
              <w:lastRenderedPageBreak/>
              <w:t>икономическа или неикономическа и дали разходите за нея са отнесени коректно с оглед характера на дейността.</w:t>
            </w:r>
          </w:p>
        </w:tc>
      </w:tr>
      <w:tr w:rsidR="00CC39AE" w:rsidRPr="00E91C01" w14:paraId="7895BC5C" w14:textId="77777777" w:rsidTr="00CC39AE">
        <w:tc>
          <w:tcPr>
            <w:tcW w:w="567" w:type="dxa"/>
            <w:shd w:val="clear" w:color="auto" w:fill="auto"/>
          </w:tcPr>
          <w:p w14:paraId="139E8E90" w14:textId="77777777" w:rsidR="00CC39AE" w:rsidRPr="00CC39AE" w:rsidRDefault="00CC39AE" w:rsidP="00F748EB">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6BDCF40F" w14:textId="0D243422"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В срок до 30 юни на всяка календарна година, СНД ще изисква документите по т. 3.4 и ще извършва проверка за спазване на изискванията на т. т. 28 и 29 от Рамката за установяването на:</w:t>
            </w:r>
          </w:p>
          <w:p w14:paraId="168BCAEE"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спазване на изискването в случай на продажба на ПИС, дали целия доход от тази продажба е реинвестиран в основната дейност на научната организация;</w:t>
            </w:r>
          </w:p>
          <w:p w14:paraId="0BF4BA19"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спазване на изискването по т. 29, б. „г“ от Рамката дали полученото възнаграждение по договори за ефективно сътрудничество съответства на пазарната цена на ПИС, предоставени на участващите предприятия или за които участващите предприятия са получили право на достъп, респективно дали абсолютната сума на стойността на всяка вноска, както финансова, така и нефинансова, на участващите предприятия към разходите на дейностите на съответната научноизследователска организация, от която произтича съответното ПИС е приспаднато от това възнаграждение;</w:t>
            </w:r>
          </w:p>
          <w:p w14:paraId="4693F5F2"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 xml:space="preserve"> - възнаграждението, което научноизследователска организация получава съответства на пазарната цена на ПИС, когато:</w:t>
            </w:r>
          </w:p>
          <w:p w14:paraId="354F2CD7"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а) размерът на възнаграждението е установен посредством открита, прозрачна и недискриминационна процедура за конкурентна продажба, или</w:t>
            </w:r>
          </w:p>
          <w:p w14:paraId="39780B79"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б) в оценката на независим експерт се потвърждава, че размерът на компенсацията е най-малко равен на пазарната цена, или</w:t>
            </w:r>
          </w:p>
          <w:p w14:paraId="4D5CF2DA" w14:textId="77777777"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в) научноизследователската организация, като продавач, може да докаже, че действително е договорила възнаграждението при условия, отговарящи на принципа на сделката между несвързани лица, за да постигне максимална икономическа полза към момента на сключване на договора, като същевременно е взела предвид своите законни цели, или</w:t>
            </w:r>
          </w:p>
          <w:p w14:paraId="44CFF278" w14:textId="01DD837E" w:rsidR="00CC39AE" w:rsidRPr="00CC39AE" w:rsidRDefault="00CC39AE" w:rsidP="00CC39AE">
            <w:pPr>
              <w:spacing w:after="120" w:line="240" w:lineRule="auto"/>
              <w:jc w:val="both"/>
              <w:rPr>
                <w:rFonts w:ascii="Cambria" w:eastAsia="Times New Roman" w:hAnsi="Cambria" w:cs="Times New Roman"/>
                <w:bCs/>
                <w:sz w:val="23"/>
                <w:szCs w:val="23"/>
                <w:lang w:val="bg-BG" w:bidi="ar-SA"/>
              </w:rPr>
            </w:pPr>
            <w:r w:rsidRPr="00CC39AE">
              <w:rPr>
                <w:rFonts w:ascii="Cambria" w:eastAsia="Times New Roman" w:hAnsi="Cambria" w:cs="Times New Roman"/>
                <w:bCs/>
                <w:sz w:val="23"/>
                <w:szCs w:val="23"/>
                <w:lang w:val="bg-BG" w:bidi="ar-SA"/>
              </w:rPr>
              <w:t>г) в случаите, в които съгласно споразумението за ефективно сътрудничество предприятие, участващо в това сътрудничество, има право на първи отказ по отношение на ПИС, генерирани от научноизследователската организация, когато тя упражнява съответното право да набира повече икономически</w:t>
            </w:r>
            <w:r w:rsidRPr="00CC39AE">
              <w:t xml:space="preserve"> </w:t>
            </w:r>
            <w:r w:rsidRPr="00CC39AE">
              <w:rPr>
                <w:rFonts w:ascii="Cambria" w:eastAsia="Times New Roman" w:hAnsi="Cambria" w:cs="Times New Roman"/>
                <w:bCs/>
                <w:sz w:val="23"/>
                <w:szCs w:val="23"/>
                <w:lang w:val="bg-BG" w:bidi="ar-SA"/>
              </w:rPr>
              <w:t>изгодни оферти от трети страни, така че предприятието, участващо в сътрудничеството, трябва да адаптира своята оферта по съобразен начин.</w:t>
            </w:r>
          </w:p>
        </w:tc>
      </w:tr>
    </w:tbl>
    <w:p w14:paraId="404E5DA6"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4. Изисквания към изпълнението на инвестицията </w:t>
      </w:r>
    </w:p>
    <w:tbl>
      <w:tblPr>
        <w:tblW w:w="0" w:type="auto"/>
        <w:tblLook w:val="04A0" w:firstRow="1" w:lastRow="0" w:firstColumn="1" w:lastColumn="0" w:noHBand="0" w:noVBand="1"/>
      </w:tblPr>
      <w:tblGrid>
        <w:gridCol w:w="568"/>
        <w:gridCol w:w="8930"/>
      </w:tblGrid>
      <w:tr w:rsidR="00F748EB" w:rsidRPr="00E91C01" w14:paraId="0208A19F" w14:textId="77777777" w:rsidTr="00E04610">
        <w:tc>
          <w:tcPr>
            <w:tcW w:w="568" w:type="dxa"/>
            <w:shd w:val="clear" w:color="auto" w:fill="auto"/>
          </w:tcPr>
          <w:p w14:paraId="196B718A"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4.1</w:t>
            </w:r>
          </w:p>
        </w:tc>
        <w:tc>
          <w:tcPr>
            <w:tcW w:w="8930" w:type="dxa"/>
            <w:shd w:val="clear" w:color="auto" w:fill="auto"/>
          </w:tcPr>
          <w:p w14:paraId="49EF7281" w14:textId="7F5A1E03"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 xml:space="preserve">Крайният получател изпълнява инвестицията съгласно описанието на одобрената инвестиция (формуляр за кандидатстване и описанието на проектното предложение ведно с приложенията към тях), представляващо Приложение І към договора, заведено в ИС на МВУ под номер [номер от ИС за ПВУ], </w:t>
            </w:r>
            <w:r w:rsidR="008D4447">
              <w:rPr>
                <w:rFonts w:ascii="Cambria" w:hAnsi="Cambria"/>
                <w:sz w:val="23"/>
                <w:szCs w:val="23"/>
                <w:lang w:val="bg-BG"/>
              </w:rPr>
              <w:t>Условията</w:t>
            </w:r>
            <w:r w:rsidRPr="00E91C01">
              <w:rPr>
                <w:rFonts w:ascii="Cambria" w:hAnsi="Cambria"/>
                <w:sz w:val="23"/>
                <w:szCs w:val="23"/>
                <w:lang w:val="bg-BG"/>
              </w:rPr>
              <w:t xml:space="preserve"> за кандидатстване и клаузите на настоящия договор.</w:t>
            </w:r>
          </w:p>
        </w:tc>
      </w:tr>
      <w:tr w:rsidR="00F748EB" w:rsidRPr="00E91C01" w14:paraId="6C7A363F" w14:textId="77777777" w:rsidTr="00E04610">
        <w:tc>
          <w:tcPr>
            <w:tcW w:w="568" w:type="dxa"/>
            <w:shd w:val="clear" w:color="auto" w:fill="auto"/>
          </w:tcPr>
          <w:p w14:paraId="202D13AD"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4.2</w:t>
            </w:r>
          </w:p>
        </w:tc>
        <w:tc>
          <w:tcPr>
            <w:tcW w:w="8930" w:type="dxa"/>
            <w:shd w:val="clear" w:color="auto" w:fill="auto"/>
          </w:tcPr>
          <w:p w14:paraId="7C588F31"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 Ръководството за изпълнение на инвестициите, както и в текущите оперативни указания на СНД, публикувани на официалната й интернет-страница.</w:t>
            </w:r>
          </w:p>
        </w:tc>
      </w:tr>
      <w:tr w:rsidR="00F748EB" w:rsidRPr="00E91C01" w14:paraId="25CEF2C0" w14:textId="77777777" w:rsidTr="00E04610">
        <w:tc>
          <w:tcPr>
            <w:tcW w:w="568" w:type="dxa"/>
            <w:shd w:val="clear" w:color="auto" w:fill="auto"/>
          </w:tcPr>
          <w:p w14:paraId="277FFB03"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lastRenderedPageBreak/>
              <w:t>4.3</w:t>
            </w:r>
          </w:p>
        </w:tc>
        <w:tc>
          <w:tcPr>
            <w:tcW w:w="8930" w:type="dxa"/>
            <w:shd w:val="clear" w:color="auto" w:fill="auto"/>
          </w:tcPr>
          <w:p w14:paraId="73CD59C2" w14:textId="77777777" w:rsidR="00F748EB" w:rsidRPr="00173258" w:rsidRDefault="00F748EB" w:rsidP="00E04610">
            <w:pPr>
              <w:jc w:val="both"/>
              <w:rPr>
                <w:rFonts w:ascii="Cambria" w:hAnsi="Cambria"/>
                <w:sz w:val="23"/>
                <w:szCs w:val="23"/>
                <w:lang w:val="bg-BG"/>
              </w:rPr>
            </w:pPr>
            <w:bookmarkStart w:id="1" w:name="_Hlk140161424"/>
            <w:r w:rsidRPr="00173258">
              <w:rPr>
                <w:rFonts w:ascii="Cambria" w:hAnsi="Cambria"/>
                <w:sz w:val="23"/>
                <w:szCs w:val="23"/>
                <w:lang w:val="bg-BG"/>
              </w:rPr>
              <w:t xml:space="preserve">Крайният получател </w:t>
            </w:r>
            <w:bookmarkEnd w:id="1"/>
            <w:r w:rsidRPr="00173258">
              <w:rPr>
                <w:rFonts w:ascii="Cambria" w:hAnsi="Cambria"/>
                <w:sz w:val="23"/>
                <w:szCs w:val="23"/>
                <w:lang w:val="bg-BG"/>
              </w:rPr>
              <w:t>отговаря за изпълнението на инвестицията при спазване на принципите на добро финансово управление, приложимото законодателство и условията на настоящия договор и приложенията към него.</w:t>
            </w:r>
          </w:p>
          <w:p w14:paraId="27F9661B" w14:textId="4223A2FC" w:rsidR="00F748EB" w:rsidRPr="00173258" w:rsidRDefault="00F748EB" w:rsidP="00CC39AE">
            <w:pPr>
              <w:jc w:val="both"/>
              <w:rPr>
                <w:rFonts w:ascii="Cambria" w:hAnsi="Cambria"/>
                <w:sz w:val="23"/>
                <w:szCs w:val="23"/>
                <w:lang w:val="bg-BG"/>
              </w:rPr>
            </w:pPr>
            <w:r w:rsidRPr="00173258">
              <w:rPr>
                <w:rFonts w:ascii="Cambria" w:hAnsi="Cambria"/>
                <w:sz w:val="23"/>
                <w:szCs w:val="23"/>
                <w:lang w:val="bg-BG"/>
              </w:rPr>
              <w:t xml:space="preserve">4.3.1. Крайният получател отговаря за изпълнението индикаторите по т. 5.3 от Условията за кандидатстване. </w:t>
            </w:r>
          </w:p>
        </w:tc>
      </w:tr>
      <w:tr w:rsidR="00F748EB" w:rsidRPr="00E91C01" w14:paraId="466E41A6" w14:textId="77777777" w:rsidTr="00E04610">
        <w:tc>
          <w:tcPr>
            <w:tcW w:w="568" w:type="dxa"/>
            <w:shd w:val="clear" w:color="auto" w:fill="auto"/>
          </w:tcPr>
          <w:p w14:paraId="0F437A88"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4.4</w:t>
            </w:r>
          </w:p>
        </w:tc>
        <w:tc>
          <w:tcPr>
            <w:tcW w:w="8930" w:type="dxa"/>
            <w:shd w:val="clear" w:color="auto" w:fill="auto"/>
          </w:tcPr>
          <w:p w14:paraId="2AC07186"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Освен задълженията и отговорностите по т. 4.3, Крайният получател се задължава да:</w:t>
            </w:r>
          </w:p>
          <w:p w14:paraId="33CFEB69" w14:textId="26BC93F9"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 xml:space="preserve">4.4.1. </w:t>
            </w:r>
            <w:r w:rsidR="008D4447" w:rsidRPr="00173258">
              <w:rPr>
                <w:rFonts w:ascii="Cambria" w:hAnsi="Cambria"/>
                <w:sz w:val="23"/>
                <w:szCs w:val="23"/>
                <w:lang w:val="bg-BG"/>
              </w:rPr>
              <w:t>да изпълнява</w:t>
            </w:r>
            <w:r w:rsidRPr="00173258">
              <w:rPr>
                <w:rFonts w:ascii="Cambria" w:hAnsi="Cambria"/>
                <w:sz w:val="23"/>
                <w:szCs w:val="23"/>
                <w:lang w:val="bg-BG"/>
              </w:rPr>
              <w:t xml:space="preserve"> дейностите по инвестицията</w:t>
            </w:r>
            <w:r w:rsidR="008D4447" w:rsidRPr="00173258">
              <w:rPr>
                <w:rFonts w:ascii="Cambria" w:hAnsi="Cambria"/>
                <w:sz w:val="23"/>
                <w:szCs w:val="23"/>
                <w:lang w:val="bg-BG"/>
              </w:rPr>
              <w:t xml:space="preserve"> добросъвестно  и в съответствие с изискванията на приложимото законодателство;</w:t>
            </w:r>
          </w:p>
          <w:p w14:paraId="4A86EACB" w14:textId="6E464691"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 xml:space="preserve">4.4.2. </w:t>
            </w:r>
            <w:r w:rsidR="008D4447" w:rsidRPr="00173258">
              <w:rPr>
                <w:rFonts w:ascii="Cambria" w:hAnsi="Cambria"/>
                <w:sz w:val="23"/>
                <w:szCs w:val="23"/>
                <w:lang w:val="bg-BG"/>
              </w:rPr>
              <w:t xml:space="preserve">да </w:t>
            </w:r>
            <w:r w:rsidRPr="00173258">
              <w:rPr>
                <w:rFonts w:ascii="Cambria" w:hAnsi="Cambria"/>
                <w:sz w:val="23"/>
                <w:szCs w:val="23"/>
                <w:lang w:val="bg-BG"/>
              </w:rPr>
              <w:t xml:space="preserve">осъществява контрол върху </w:t>
            </w:r>
            <w:r w:rsidR="008D4447" w:rsidRPr="00173258">
              <w:rPr>
                <w:rFonts w:ascii="Cambria" w:hAnsi="Cambria"/>
                <w:sz w:val="23"/>
                <w:szCs w:val="23"/>
                <w:lang w:val="bg-BG"/>
              </w:rPr>
              <w:t>дейностите по изпълнение на инвестицията</w:t>
            </w:r>
            <w:r w:rsidRPr="00173258">
              <w:rPr>
                <w:rFonts w:ascii="Cambria" w:hAnsi="Cambria"/>
                <w:sz w:val="23"/>
                <w:szCs w:val="23"/>
                <w:lang w:val="bg-BG"/>
              </w:rPr>
              <w:t>;</w:t>
            </w:r>
          </w:p>
          <w:p w14:paraId="34EA4ACF"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4.4.3. осигурява информацията, съгласно чл. 22, параграф 2, буква „г" от Регламент (ЕС) 2021/241;</w:t>
            </w:r>
          </w:p>
          <w:p w14:paraId="1B44B19B"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4.4.4. осигурява одитна следа;</w:t>
            </w:r>
          </w:p>
          <w:p w14:paraId="355E48F2"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4.4.5. представя в ИС за ПВУ финансово-технически отчети;</w:t>
            </w:r>
          </w:p>
          <w:p w14:paraId="7D214A3F"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4.4.6. 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w:t>
            </w:r>
          </w:p>
          <w:p w14:paraId="012A4708"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4.4.7. осигурява достъп до документи и на мястото на изпълнение на инвестициите на национални и европейски контролни и одитни органи, включително структурата за наблюдение и докладване или структурата за наблюдение на Европейската комисия, на Европейската сметна палата, на Европейската служба за борба с измамите и на Европейската прокуратура;</w:t>
            </w:r>
          </w:p>
          <w:p w14:paraId="4DF3A000"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4.4.8. идентифицира и предприема действия за намаляване на рисковете за изпълнение на мерките;</w:t>
            </w:r>
          </w:p>
          <w:p w14:paraId="164DEC48"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4.4.9. спазва принципа за „ненанасяне на значителни вреди" при изпълнението на мерките, включително при възлагането на обществени поръчки.</w:t>
            </w:r>
          </w:p>
        </w:tc>
      </w:tr>
      <w:tr w:rsidR="00F748EB" w:rsidRPr="00E91C01" w14:paraId="4CC67176" w14:textId="77777777" w:rsidTr="00E04610">
        <w:tc>
          <w:tcPr>
            <w:tcW w:w="568" w:type="dxa"/>
            <w:shd w:val="clear" w:color="auto" w:fill="auto"/>
          </w:tcPr>
          <w:p w14:paraId="0ED95FB0" w14:textId="77777777" w:rsidR="00F748EB" w:rsidRPr="00E91C01" w:rsidRDefault="00F748EB" w:rsidP="00E04610">
            <w:pPr>
              <w:rPr>
                <w:rFonts w:ascii="Cambria" w:hAnsi="Cambria"/>
                <w:sz w:val="23"/>
                <w:szCs w:val="23"/>
              </w:rPr>
            </w:pPr>
          </w:p>
        </w:tc>
        <w:tc>
          <w:tcPr>
            <w:tcW w:w="8930" w:type="dxa"/>
            <w:shd w:val="clear" w:color="auto" w:fill="auto"/>
          </w:tcPr>
          <w:p w14:paraId="4438A95F"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4.4.10. Крайният получател регулярно въвежда информация в ИС за ПВУ за сключените от него договори с изпълнители, както и за всички участници в обединение и за изпълнители или подизпълнители по договор, съобразно изискванията на утвърденото Ръководство за изпълнение и отчитане на инвестициите. Крайният получател се задължава да потвърждава наличието и достоверността на информацията, изискваща се съгласно чл. 22, параграф 2, б. „г“ от Регламент (ЕС) 2021/241.</w:t>
            </w:r>
          </w:p>
        </w:tc>
      </w:tr>
      <w:tr w:rsidR="00F748EB" w:rsidRPr="00E91C01" w14:paraId="7E6A2990" w14:textId="77777777" w:rsidTr="00E04610">
        <w:tc>
          <w:tcPr>
            <w:tcW w:w="568" w:type="dxa"/>
            <w:shd w:val="clear" w:color="auto" w:fill="auto"/>
          </w:tcPr>
          <w:p w14:paraId="73FB8E6F" w14:textId="77777777" w:rsidR="00F748EB" w:rsidRPr="00E91C01" w:rsidRDefault="00F748EB" w:rsidP="00E04610">
            <w:pPr>
              <w:rPr>
                <w:rFonts w:ascii="Cambria" w:hAnsi="Cambria"/>
                <w:sz w:val="23"/>
                <w:szCs w:val="23"/>
                <w:lang w:val="bg-BG"/>
              </w:rPr>
            </w:pPr>
          </w:p>
          <w:p w14:paraId="14943EF9" w14:textId="77777777" w:rsidR="00F748EB" w:rsidRPr="00E91C01" w:rsidRDefault="00F748EB" w:rsidP="00E04610">
            <w:pPr>
              <w:rPr>
                <w:rFonts w:ascii="Cambria" w:hAnsi="Cambria"/>
                <w:sz w:val="23"/>
                <w:szCs w:val="23"/>
                <w:lang w:val="bg-BG"/>
              </w:rPr>
            </w:pPr>
          </w:p>
          <w:p w14:paraId="164099AC" w14:textId="77777777" w:rsidR="00F748EB" w:rsidRPr="00E91C01" w:rsidRDefault="00F748EB" w:rsidP="00E04610">
            <w:pPr>
              <w:rPr>
                <w:rFonts w:ascii="Cambria" w:hAnsi="Cambria"/>
                <w:sz w:val="23"/>
                <w:szCs w:val="23"/>
                <w:lang w:val="bg-BG"/>
              </w:rPr>
            </w:pPr>
          </w:p>
        </w:tc>
        <w:tc>
          <w:tcPr>
            <w:tcW w:w="8930" w:type="dxa"/>
            <w:shd w:val="clear" w:color="auto" w:fill="auto"/>
          </w:tcPr>
          <w:p w14:paraId="47540C56" w14:textId="77777777" w:rsidR="00F748EB" w:rsidRPr="00E91C01" w:rsidRDefault="00F748EB" w:rsidP="00E04610">
            <w:pPr>
              <w:jc w:val="both"/>
              <w:rPr>
                <w:rFonts w:ascii="Cambria" w:hAnsi="Cambria"/>
                <w:sz w:val="23"/>
                <w:szCs w:val="23"/>
                <w:lang w:val="bg-BG"/>
              </w:rPr>
            </w:pPr>
            <w:r w:rsidRPr="00E91C01">
              <w:rPr>
                <w:rFonts w:ascii="Cambria" w:hAnsi="Cambria"/>
                <w:sz w:val="23"/>
                <w:szCs w:val="23"/>
                <w:lang w:val="bg-BG"/>
              </w:rPr>
              <w:t>4.4.11. 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съответствието с приложимите за това правила.</w:t>
            </w:r>
          </w:p>
        </w:tc>
      </w:tr>
      <w:tr w:rsidR="00F748EB" w:rsidRPr="00E91C01" w14:paraId="6FC0B944" w14:textId="77777777" w:rsidTr="00E04610">
        <w:tc>
          <w:tcPr>
            <w:tcW w:w="568" w:type="dxa"/>
            <w:shd w:val="clear" w:color="auto" w:fill="auto"/>
          </w:tcPr>
          <w:p w14:paraId="49C96FD9" w14:textId="77777777" w:rsidR="00F748EB" w:rsidRPr="00E91C01" w:rsidRDefault="00F748EB" w:rsidP="00E04610">
            <w:pPr>
              <w:rPr>
                <w:rFonts w:ascii="Cambria" w:hAnsi="Cambria"/>
                <w:sz w:val="23"/>
                <w:szCs w:val="23"/>
                <w:lang w:val="bg-BG"/>
              </w:rPr>
            </w:pPr>
            <w:r w:rsidRPr="00E91C01">
              <w:rPr>
                <w:rFonts w:ascii="Cambria" w:hAnsi="Cambria"/>
                <w:sz w:val="23"/>
                <w:szCs w:val="23"/>
                <w:lang w:val="bg-BG"/>
              </w:rPr>
              <w:t>4.5</w:t>
            </w:r>
          </w:p>
        </w:tc>
        <w:tc>
          <w:tcPr>
            <w:tcW w:w="8930" w:type="dxa"/>
            <w:shd w:val="clear" w:color="auto" w:fill="auto"/>
          </w:tcPr>
          <w:p w14:paraId="4FD4BF75" w14:textId="77777777" w:rsidR="00F748EB" w:rsidRPr="00173258" w:rsidRDefault="00F748EB" w:rsidP="00E04610">
            <w:pPr>
              <w:jc w:val="both"/>
              <w:rPr>
                <w:rFonts w:ascii="Cambria" w:hAnsi="Cambria"/>
                <w:sz w:val="23"/>
                <w:szCs w:val="23"/>
                <w:lang w:val="bg-BG"/>
              </w:rPr>
            </w:pPr>
            <w:r w:rsidRPr="00E91C01">
              <w:rPr>
                <w:rFonts w:ascii="Cambria" w:hAnsi="Cambria"/>
                <w:sz w:val="23"/>
                <w:szCs w:val="23"/>
                <w:lang w:val="bg-BG"/>
              </w:rPr>
              <w:t xml:space="preserve">Крайният </w:t>
            </w:r>
            <w:r w:rsidRPr="00173258">
              <w:rPr>
                <w:rFonts w:ascii="Cambria" w:hAnsi="Cambria"/>
                <w:sz w:val="23"/>
                <w:szCs w:val="23"/>
                <w:lang w:val="bg-BG"/>
              </w:rPr>
              <w:t>получател изпълнява проекта при условията на ПРИЛОЖЕНИЕ I и ПРИЛОЖЕНИЕ II към настоящия договор със следния партньор/и (когато е приложимо):</w:t>
            </w:r>
          </w:p>
          <w:p w14:paraId="2FC1CD5D" w14:textId="77777777" w:rsidR="00F748EB" w:rsidRPr="00173258" w:rsidRDefault="00F748EB" w:rsidP="00E04610">
            <w:pPr>
              <w:jc w:val="both"/>
              <w:rPr>
                <w:rFonts w:ascii="Cambria" w:hAnsi="Cambria"/>
                <w:sz w:val="23"/>
                <w:szCs w:val="23"/>
                <w:lang w:val="bg-BG"/>
              </w:rPr>
            </w:pPr>
            <w:r w:rsidRPr="00173258">
              <w:rPr>
                <w:rFonts w:ascii="Cambria" w:hAnsi="Cambria"/>
                <w:sz w:val="23"/>
                <w:szCs w:val="23"/>
                <w:lang w:val="bg-BG"/>
              </w:rPr>
              <w:t xml:space="preserve">1. ……………… със седалище …………. и адрес на управление ……………, ЕИК по </w:t>
            </w:r>
            <w:r w:rsidRPr="00173258">
              <w:rPr>
                <w:rFonts w:ascii="Cambria" w:hAnsi="Cambria"/>
                <w:sz w:val="23"/>
                <w:szCs w:val="23"/>
                <w:lang w:val="bg-BG"/>
              </w:rPr>
              <w:lastRenderedPageBreak/>
              <w:t>БУЛСТАТ: ……………….;</w:t>
            </w:r>
          </w:p>
          <w:p w14:paraId="38F024CE" w14:textId="77777777" w:rsidR="00F748EB" w:rsidRPr="00E91C01" w:rsidRDefault="00F748EB" w:rsidP="00E04610">
            <w:pPr>
              <w:jc w:val="both"/>
              <w:rPr>
                <w:rFonts w:ascii="Cambria" w:hAnsi="Cambria"/>
                <w:sz w:val="23"/>
                <w:szCs w:val="23"/>
                <w:lang w:val="bg-BG"/>
              </w:rPr>
            </w:pPr>
            <w:r w:rsidRPr="00173258">
              <w:rPr>
                <w:rFonts w:ascii="Cambria" w:hAnsi="Cambria"/>
                <w:sz w:val="23"/>
                <w:szCs w:val="23"/>
                <w:lang w:val="bg-BG"/>
              </w:rPr>
              <w:t>2. 1. ……………… със седалище …………. и адрес на управление ……………, ЕИК по БУЛСТАТ: ……………….</w:t>
            </w:r>
          </w:p>
        </w:tc>
      </w:tr>
    </w:tbl>
    <w:p w14:paraId="4F905C04"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p>
    <w:p w14:paraId="1F7450D5" w14:textId="7EA059C7" w:rsidR="00F748EB" w:rsidRPr="00173258" w:rsidRDefault="00562285" w:rsidP="00F748EB">
      <w:pPr>
        <w:spacing w:after="120" w:line="240" w:lineRule="auto"/>
        <w:jc w:val="both"/>
        <w:rPr>
          <w:rFonts w:ascii="Cambria" w:eastAsia="Times New Roman" w:hAnsi="Cambria" w:cs="Times New Roman"/>
          <w:bCs/>
          <w:sz w:val="23"/>
          <w:szCs w:val="23"/>
          <w:lang w:val="bg-BG" w:bidi="ar-SA"/>
        </w:rPr>
      </w:pPr>
      <w:r w:rsidRPr="00173258">
        <w:rPr>
          <w:rFonts w:ascii="Cambria" w:eastAsia="Times New Roman" w:hAnsi="Cambria" w:cs="Times New Roman"/>
          <w:bCs/>
          <w:sz w:val="23"/>
          <w:szCs w:val="23"/>
          <w:lang w:val="bg-BG" w:bidi="ar-SA"/>
        </w:rPr>
        <w:t>Член 5. Специфични правила за изпълнението и отчитането на инвестицията:</w:t>
      </w:r>
    </w:p>
    <w:p w14:paraId="68A122C6" w14:textId="28D3EC13" w:rsidR="00562285" w:rsidRPr="00173258" w:rsidRDefault="00562285" w:rsidP="00F748EB">
      <w:pPr>
        <w:spacing w:after="120" w:line="240" w:lineRule="auto"/>
        <w:jc w:val="both"/>
        <w:rPr>
          <w:rFonts w:ascii="Cambria" w:eastAsia="Times New Roman" w:hAnsi="Cambria" w:cs="Times New Roman"/>
          <w:bCs/>
          <w:sz w:val="23"/>
          <w:szCs w:val="23"/>
          <w:lang w:val="bg-BG" w:bidi="ar-SA"/>
        </w:rPr>
      </w:pPr>
      <w:r w:rsidRPr="00173258">
        <w:rPr>
          <w:rFonts w:ascii="Cambria" w:eastAsia="Times New Roman" w:hAnsi="Cambria" w:cs="Times New Roman"/>
          <w:bCs/>
          <w:sz w:val="23"/>
          <w:szCs w:val="23"/>
          <w:lang w:val="bg-BG" w:bidi="ar-SA"/>
        </w:rPr>
        <w:t>5.1. В случай, че в срок до 6 месеца, Крайният получател не е започнал производство в Патентното ведомство/Европейското патентно ведомство, СНД има право да прекрати договора за финансиране.</w:t>
      </w:r>
    </w:p>
    <w:p w14:paraId="65145317" w14:textId="0C0B5006" w:rsidR="009A7DCD" w:rsidRPr="00173258" w:rsidRDefault="009A7DCD" w:rsidP="00F748EB">
      <w:pPr>
        <w:spacing w:after="120" w:line="240" w:lineRule="auto"/>
        <w:jc w:val="both"/>
        <w:rPr>
          <w:rFonts w:ascii="Cambria" w:eastAsia="Times New Roman" w:hAnsi="Cambria" w:cs="Times New Roman"/>
          <w:bCs/>
          <w:sz w:val="23"/>
          <w:szCs w:val="23"/>
          <w:lang w:val="bg-BG" w:bidi="ar-SA"/>
        </w:rPr>
      </w:pPr>
      <w:r w:rsidRPr="00173258">
        <w:rPr>
          <w:rFonts w:ascii="Cambria" w:eastAsia="Times New Roman" w:hAnsi="Cambria" w:cs="Times New Roman"/>
          <w:bCs/>
          <w:sz w:val="23"/>
          <w:szCs w:val="23"/>
          <w:lang w:val="bg-BG" w:bidi="ar-SA"/>
        </w:rPr>
        <w:t xml:space="preserve">5.2. Крайният получател се задължава при подаване на заявка в Патентното ведомство да </w:t>
      </w:r>
      <w:r w:rsidR="00773658" w:rsidRPr="00173258">
        <w:rPr>
          <w:rFonts w:ascii="Cambria" w:eastAsia="Times New Roman" w:hAnsi="Cambria" w:cs="Times New Roman"/>
          <w:bCs/>
          <w:sz w:val="23"/>
          <w:szCs w:val="23"/>
          <w:lang w:val="bg-BG" w:bidi="ar-SA"/>
        </w:rPr>
        <w:t>представи необходимите декларации и документи за заплащане на таксите за патент и/или полезен модел в намален размер, съгласно чл. 5, ал. 1 от ЗПРПМ. Крайният получател се задължава при подаване на заявка в</w:t>
      </w:r>
      <w:r w:rsidR="00773658" w:rsidRPr="00173258">
        <w:t xml:space="preserve"> </w:t>
      </w:r>
      <w:r w:rsidR="00773658" w:rsidRPr="00173258">
        <w:rPr>
          <w:rFonts w:ascii="Cambria" w:eastAsia="Times New Roman" w:hAnsi="Cambria" w:cs="Times New Roman"/>
          <w:bCs/>
          <w:sz w:val="23"/>
          <w:szCs w:val="23"/>
          <w:lang w:val="bg-BG" w:bidi="ar-SA"/>
        </w:rPr>
        <w:t>Европейското патентно ведомство да проучи добросъвестно всички условия и да предприеме подходящи действия, в случаите когато е допустимо намаление на дължимите такси в производството.</w:t>
      </w:r>
      <w:r w:rsidRPr="00173258">
        <w:rPr>
          <w:rFonts w:ascii="Cambria" w:eastAsia="Times New Roman" w:hAnsi="Cambria" w:cs="Times New Roman"/>
          <w:bCs/>
          <w:sz w:val="23"/>
          <w:szCs w:val="23"/>
          <w:lang w:val="bg-BG" w:bidi="ar-SA"/>
        </w:rPr>
        <w:tab/>
      </w:r>
    </w:p>
    <w:p w14:paraId="398FCC53" w14:textId="7BDB141A" w:rsidR="00562285" w:rsidRDefault="00421588" w:rsidP="00562285">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5.3</w:t>
      </w:r>
      <w:r w:rsidR="00562285" w:rsidRPr="00173258">
        <w:rPr>
          <w:rFonts w:ascii="Cambria" w:eastAsia="Times New Roman" w:hAnsi="Cambria" w:cs="Times New Roman"/>
          <w:bCs/>
          <w:sz w:val="23"/>
          <w:szCs w:val="23"/>
          <w:lang w:val="bg-BG" w:bidi="ar-SA"/>
        </w:rPr>
        <w:t xml:space="preserve">. В случаите на оттегляне на </w:t>
      </w:r>
      <w:r w:rsidR="009A7DCD" w:rsidRPr="00173258">
        <w:rPr>
          <w:rFonts w:ascii="Cambria" w:eastAsia="Times New Roman" w:hAnsi="Cambria" w:cs="Times New Roman"/>
          <w:bCs/>
          <w:sz w:val="23"/>
          <w:szCs w:val="23"/>
          <w:lang w:val="bg-BG" w:bidi="ar-SA"/>
        </w:rPr>
        <w:t xml:space="preserve">заявката, при </w:t>
      </w:r>
      <w:r w:rsidR="00562285" w:rsidRPr="00173258">
        <w:rPr>
          <w:rFonts w:ascii="Cambria" w:eastAsia="Times New Roman" w:hAnsi="Cambria" w:cs="Times New Roman"/>
          <w:bCs/>
          <w:sz w:val="23"/>
          <w:szCs w:val="23"/>
          <w:lang w:val="bg-BG" w:bidi="ar-SA"/>
        </w:rPr>
        <w:t>прекратяване на производството по заявката</w:t>
      </w:r>
      <w:r w:rsidR="009A7DCD" w:rsidRPr="00173258">
        <w:rPr>
          <w:rFonts w:ascii="Cambria" w:eastAsia="Times New Roman" w:hAnsi="Cambria" w:cs="Times New Roman"/>
          <w:bCs/>
          <w:sz w:val="23"/>
          <w:szCs w:val="23"/>
          <w:lang w:val="bg-BG" w:bidi="ar-SA"/>
        </w:rPr>
        <w:t xml:space="preserve"> от страна на Патентното ведомство/Европейското патентно ведомство, както и </w:t>
      </w:r>
      <w:r w:rsidR="00773658" w:rsidRPr="00173258">
        <w:rPr>
          <w:rFonts w:ascii="Cambria" w:eastAsia="Times New Roman" w:hAnsi="Cambria" w:cs="Times New Roman"/>
          <w:bCs/>
          <w:sz w:val="23"/>
          <w:szCs w:val="23"/>
          <w:lang w:val="bg-BG" w:bidi="ar-SA"/>
        </w:rPr>
        <w:t xml:space="preserve">при обявяване на патента за недействителен, Крайният получател дължи </w:t>
      </w:r>
      <w:r w:rsidR="00B63015" w:rsidRPr="00173258">
        <w:rPr>
          <w:rFonts w:ascii="Cambria" w:eastAsia="Times New Roman" w:hAnsi="Cambria" w:cs="Times New Roman"/>
          <w:bCs/>
          <w:sz w:val="23"/>
          <w:szCs w:val="23"/>
          <w:lang w:val="bg-BG" w:bidi="ar-SA"/>
        </w:rPr>
        <w:t>възстановяване на получените средства по реда на член 7 от настоящия договор.</w:t>
      </w:r>
    </w:p>
    <w:p w14:paraId="1E9F2694" w14:textId="1F1E02B3" w:rsidR="00421588" w:rsidRDefault="00421588" w:rsidP="00CE13E3">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 xml:space="preserve">5.4.  </w:t>
      </w:r>
      <w:r w:rsidR="00CE13E3" w:rsidRPr="00CE13E3">
        <w:rPr>
          <w:rFonts w:ascii="Cambria" w:eastAsia="Times New Roman" w:hAnsi="Cambria" w:cs="Times New Roman"/>
          <w:bCs/>
          <w:sz w:val="23"/>
          <w:szCs w:val="23"/>
          <w:lang w:val="bg-BG" w:bidi="ar-SA"/>
        </w:rPr>
        <w:t xml:space="preserve">Крайният получател се задължава </w:t>
      </w:r>
      <w:r w:rsidR="00CE13E3">
        <w:rPr>
          <w:rFonts w:ascii="Cambria" w:eastAsia="Times New Roman" w:hAnsi="Cambria" w:cs="Times New Roman"/>
          <w:bCs/>
          <w:sz w:val="23"/>
          <w:szCs w:val="23"/>
          <w:lang w:val="bg-BG" w:bidi="ar-SA"/>
        </w:rPr>
        <w:t xml:space="preserve">полученото финансиране за дейности осъществени в </w:t>
      </w:r>
      <w:r w:rsidR="00CE13E3" w:rsidRPr="00CE13E3">
        <w:rPr>
          <w:rFonts w:ascii="Cambria" w:eastAsia="Times New Roman" w:hAnsi="Cambria" w:cs="Times New Roman"/>
          <w:bCs/>
          <w:sz w:val="23"/>
          <w:szCs w:val="23"/>
          <w:lang w:val="bg-BG" w:bidi="ar-SA"/>
        </w:rPr>
        <w:t>периода на допустимост на дейностите, съгласно Регламент (ЕС) 2021/241 на Европейския Парламент и на Съвета от 12 февруари 2021 година за създаване на Механизъм за възстановяване и устойчивост</w:t>
      </w:r>
      <w:r w:rsidR="00CE13E3">
        <w:rPr>
          <w:rFonts w:ascii="Cambria" w:eastAsia="Times New Roman" w:hAnsi="Cambria" w:cs="Times New Roman"/>
          <w:bCs/>
          <w:sz w:val="23"/>
          <w:szCs w:val="23"/>
          <w:lang w:val="bg-BG" w:bidi="ar-SA"/>
        </w:rPr>
        <w:t xml:space="preserve">, да бъдат включени в </w:t>
      </w:r>
      <w:r w:rsidR="00CE13E3" w:rsidRPr="00CE13E3">
        <w:rPr>
          <w:rFonts w:ascii="Cambria" w:eastAsia="Times New Roman" w:hAnsi="Cambria" w:cs="Times New Roman"/>
          <w:bCs/>
          <w:sz w:val="23"/>
          <w:szCs w:val="23"/>
          <w:lang w:val="bg-BG" w:bidi="ar-SA"/>
        </w:rPr>
        <w:t>обособена</w:t>
      </w:r>
      <w:r w:rsidR="00CE13E3">
        <w:rPr>
          <w:rFonts w:ascii="Cambria" w:eastAsia="Times New Roman" w:hAnsi="Cambria" w:cs="Times New Roman"/>
          <w:bCs/>
          <w:sz w:val="23"/>
          <w:szCs w:val="23"/>
          <w:lang w:val="bg-BG" w:bidi="ar-SA"/>
        </w:rPr>
        <w:t>та</w:t>
      </w:r>
      <w:r w:rsidR="00CE13E3" w:rsidRPr="00CE13E3">
        <w:rPr>
          <w:rFonts w:ascii="Cambria" w:eastAsia="Times New Roman" w:hAnsi="Cambria" w:cs="Times New Roman"/>
          <w:bCs/>
          <w:sz w:val="23"/>
          <w:szCs w:val="23"/>
          <w:lang w:val="bg-BG" w:bidi="ar-SA"/>
        </w:rPr>
        <w:t xml:space="preserve"> партида „Интелектуална собственост”, с цел осигуряване на средства за закрила, управление и защита на интелектуалната собственост </w:t>
      </w:r>
      <w:r w:rsidR="00CE13E3">
        <w:rPr>
          <w:rFonts w:ascii="Cambria" w:eastAsia="Times New Roman" w:hAnsi="Cambria" w:cs="Times New Roman"/>
          <w:bCs/>
          <w:sz w:val="23"/>
          <w:szCs w:val="23"/>
          <w:lang w:val="bg-BG" w:bidi="ar-SA"/>
        </w:rPr>
        <w:t>на кандидата и партньора (ако има такв)  съгласно чл. 18, ал. 4 от Правилника з</w:t>
      </w:r>
      <w:r w:rsidR="00CE13E3" w:rsidRPr="00CE13E3">
        <w:rPr>
          <w:rFonts w:ascii="Cambria" w:eastAsia="Times New Roman" w:hAnsi="Cambria" w:cs="Times New Roman"/>
          <w:bCs/>
          <w:sz w:val="23"/>
          <w:szCs w:val="23"/>
          <w:lang w:val="bg-BG" w:bidi="ar-SA"/>
        </w:rPr>
        <w:t xml:space="preserve">а </w:t>
      </w:r>
      <w:r w:rsidR="00CE13E3">
        <w:rPr>
          <w:rFonts w:ascii="Cambria" w:eastAsia="Times New Roman" w:hAnsi="Cambria" w:cs="Times New Roman"/>
          <w:bCs/>
          <w:sz w:val="23"/>
          <w:szCs w:val="23"/>
          <w:lang w:val="bg-BG" w:bidi="ar-SA"/>
        </w:rPr>
        <w:t>з</w:t>
      </w:r>
      <w:r w:rsidR="00CE13E3" w:rsidRPr="00CE13E3">
        <w:rPr>
          <w:rFonts w:ascii="Cambria" w:eastAsia="Times New Roman" w:hAnsi="Cambria" w:cs="Times New Roman"/>
          <w:bCs/>
          <w:sz w:val="23"/>
          <w:szCs w:val="23"/>
          <w:lang w:val="bg-BG" w:bidi="ar-SA"/>
        </w:rPr>
        <w:t xml:space="preserve">акрила </w:t>
      </w:r>
      <w:r w:rsidR="00CE13E3">
        <w:rPr>
          <w:rFonts w:ascii="Cambria" w:eastAsia="Times New Roman" w:hAnsi="Cambria" w:cs="Times New Roman"/>
          <w:bCs/>
          <w:sz w:val="23"/>
          <w:szCs w:val="23"/>
          <w:lang w:val="bg-BG" w:bidi="ar-SA"/>
        </w:rPr>
        <w:t>и</w:t>
      </w:r>
      <w:r w:rsidR="00CE13E3" w:rsidRPr="00CE13E3">
        <w:rPr>
          <w:rFonts w:ascii="Cambria" w:eastAsia="Times New Roman" w:hAnsi="Cambria" w:cs="Times New Roman"/>
          <w:bCs/>
          <w:sz w:val="23"/>
          <w:szCs w:val="23"/>
          <w:lang w:val="bg-BG" w:bidi="ar-SA"/>
        </w:rPr>
        <w:t xml:space="preserve"> управление на обектите на интелектуална собственост в Българската </w:t>
      </w:r>
      <w:r w:rsidR="00CE13E3">
        <w:rPr>
          <w:rFonts w:ascii="Cambria" w:eastAsia="Times New Roman" w:hAnsi="Cambria" w:cs="Times New Roman"/>
          <w:bCs/>
          <w:sz w:val="23"/>
          <w:szCs w:val="23"/>
          <w:lang w:val="bg-BG" w:bidi="ar-SA"/>
        </w:rPr>
        <w:t>а</w:t>
      </w:r>
      <w:r w:rsidR="00CE13E3" w:rsidRPr="00CE13E3">
        <w:rPr>
          <w:rFonts w:ascii="Cambria" w:eastAsia="Times New Roman" w:hAnsi="Cambria" w:cs="Times New Roman"/>
          <w:bCs/>
          <w:sz w:val="23"/>
          <w:szCs w:val="23"/>
          <w:lang w:val="bg-BG" w:bidi="ar-SA"/>
        </w:rPr>
        <w:t xml:space="preserve">кадемия </w:t>
      </w:r>
      <w:r w:rsidR="00CE13E3">
        <w:rPr>
          <w:rFonts w:ascii="Cambria" w:eastAsia="Times New Roman" w:hAnsi="Cambria" w:cs="Times New Roman"/>
          <w:bCs/>
          <w:sz w:val="23"/>
          <w:szCs w:val="23"/>
          <w:lang w:val="bg-BG" w:bidi="ar-SA"/>
        </w:rPr>
        <w:t>н</w:t>
      </w:r>
      <w:r w:rsidR="00CE13E3" w:rsidRPr="00CE13E3">
        <w:rPr>
          <w:rFonts w:ascii="Cambria" w:eastAsia="Times New Roman" w:hAnsi="Cambria" w:cs="Times New Roman"/>
          <w:bCs/>
          <w:sz w:val="23"/>
          <w:szCs w:val="23"/>
          <w:lang w:val="bg-BG" w:bidi="ar-SA"/>
        </w:rPr>
        <w:t xml:space="preserve">а </w:t>
      </w:r>
      <w:r w:rsidR="00CE13E3">
        <w:rPr>
          <w:rFonts w:ascii="Cambria" w:eastAsia="Times New Roman" w:hAnsi="Cambria" w:cs="Times New Roman"/>
          <w:bCs/>
          <w:sz w:val="23"/>
          <w:szCs w:val="23"/>
          <w:lang w:val="bg-BG" w:bidi="ar-SA"/>
        </w:rPr>
        <w:t>н</w:t>
      </w:r>
      <w:r w:rsidR="00CE13E3" w:rsidRPr="00CE13E3">
        <w:rPr>
          <w:rFonts w:ascii="Cambria" w:eastAsia="Times New Roman" w:hAnsi="Cambria" w:cs="Times New Roman"/>
          <w:bCs/>
          <w:sz w:val="23"/>
          <w:szCs w:val="23"/>
          <w:lang w:val="bg-BG" w:bidi="ar-SA"/>
        </w:rPr>
        <w:t>ауките</w:t>
      </w:r>
      <w:r w:rsidR="00CE13E3">
        <w:rPr>
          <w:rFonts w:ascii="Cambria" w:eastAsia="Times New Roman" w:hAnsi="Cambria" w:cs="Times New Roman"/>
          <w:bCs/>
          <w:sz w:val="23"/>
          <w:szCs w:val="23"/>
          <w:lang w:val="bg-BG" w:bidi="ar-SA"/>
        </w:rPr>
        <w:t>.</w:t>
      </w:r>
    </w:p>
    <w:p w14:paraId="45F2437A" w14:textId="7A137C4E" w:rsidR="00562285" w:rsidRDefault="00562285" w:rsidP="00F748EB">
      <w:pPr>
        <w:spacing w:after="120" w:line="240" w:lineRule="auto"/>
        <w:jc w:val="both"/>
        <w:rPr>
          <w:rFonts w:ascii="Cambria" w:eastAsia="Times New Roman" w:hAnsi="Cambria" w:cs="Times New Roman"/>
          <w:bCs/>
          <w:sz w:val="23"/>
          <w:szCs w:val="23"/>
          <w:lang w:val="bg-BG" w:bidi="ar-SA"/>
        </w:rPr>
      </w:pPr>
    </w:p>
    <w:p w14:paraId="4C4DAE2E" w14:textId="77777777" w:rsidR="00F748EB" w:rsidRPr="00E91C01" w:rsidRDefault="00F748EB" w:rsidP="00F748EB">
      <w:pPr>
        <w:spacing w:after="120" w:line="240" w:lineRule="auto"/>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6. Цена и Условия за плащане </w:t>
      </w:r>
    </w:p>
    <w:p w14:paraId="5B1FFA65" w14:textId="77777777" w:rsidR="00F748EB" w:rsidRPr="00E91C01" w:rsidRDefault="00F748EB" w:rsidP="00F748EB">
      <w:pPr>
        <w:spacing w:after="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b/>
          <w:sz w:val="23"/>
          <w:szCs w:val="23"/>
          <w:lang w:val="bg-BG" w:bidi="ar-SA"/>
        </w:rPr>
        <w:t xml:space="preserve">Финансиране </w:t>
      </w:r>
    </w:p>
    <w:p w14:paraId="74D5CCCE" w14:textId="77777777" w:rsidR="00F748EB" w:rsidRPr="00E91C01" w:rsidRDefault="00F748EB" w:rsidP="00F748EB">
      <w:pPr>
        <w:spacing w:after="0" w:line="240" w:lineRule="auto"/>
        <w:ind w:left="567"/>
        <w:jc w:val="both"/>
        <w:rPr>
          <w:rFonts w:ascii="Cambria" w:eastAsia="Times New Roman" w:hAnsi="Cambria" w:cs="Times New Roman"/>
          <w:sz w:val="23"/>
          <w:szCs w:val="23"/>
          <w:lang w:val="bg-BG" w:bidi="ar-SA"/>
        </w:rPr>
      </w:pPr>
    </w:p>
    <w:tbl>
      <w:tblPr>
        <w:tblW w:w="9604" w:type="dxa"/>
        <w:tblInd w:w="-34" w:type="dxa"/>
        <w:tblLayout w:type="fixed"/>
        <w:tblLook w:val="04A0" w:firstRow="1" w:lastRow="0" w:firstColumn="1" w:lastColumn="0" w:noHBand="0" w:noVBand="1"/>
      </w:tblPr>
      <w:tblGrid>
        <w:gridCol w:w="709"/>
        <w:gridCol w:w="8895"/>
      </w:tblGrid>
      <w:tr w:rsidR="00F748EB" w:rsidRPr="00E91C01" w14:paraId="75F42F76" w14:textId="77777777" w:rsidTr="00E04610">
        <w:tc>
          <w:tcPr>
            <w:tcW w:w="709" w:type="dxa"/>
            <w:shd w:val="clear" w:color="auto" w:fill="auto"/>
          </w:tcPr>
          <w:p w14:paraId="491EEC0D" w14:textId="77777777" w:rsidR="00F748EB" w:rsidRPr="00E91C01" w:rsidRDefault="00F748EB" w:rsidP="00F748EB">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42529A3F" w14:textId="6C306999" w:rsidR="00F748EB" w:rsidRPr="00E91C01" w:rsidRDefault="00F748EB" w:rsidP="00CC39AE">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Максималният размер на общо допустимите разходи по Инвестицията възлиза на  ................................................ лв. </w:t>
            </w:r>
            <w:r w:rsidRPr="00E91C01">
              <w:rPr>
                <w:rFonts w:ascii="Cambria" w:eastAsia="Times New Roman" w:hAnsi="Cambria" w:cs="Times New Roman"/>
                <w:bCs/>
                <w:sz w:val="23"/>
                <w:szCs w:val="23"/>
                <w:lang w:val="en-GB" w:bidi="ar-SA"/>
              </w:rPr>
              <w:t>[</w:t>
            </w:r>
            <w:proofErr w:type="gramStart"/>
            <w:r w:rsidRPr="00E91C01">
              <w:rPr>
                <w:rFonts w:ascii="Cambria" w:eastAsia="Times New Roman" w:hAnsi="Cambria" w:cs="Times New Roman"/>
                <w:bCs/>
                <w:i/>
                <w:sz w:val="23"/>
                <w:szCs w:val="23"/>
                <w:lang w:val="bg-BG" w:bidi="ar-SA"/>
              </w:rPr>
              <w:t>словом</w:t>
            </w:r>
            <w:proofErr w:type="gramEnd"/>
            <w:r w:rsidRPr="00E91C01">
              <w:rPr>
                <w:rFonts w:ascii="Cambria" w:eastAsia="Times New Roman" w:hAnsi="Cambria" w:cs="Times New Roman"/>
                <w:bCs/>
                <w:i/>
                <w:sz w:val="23"/>
                <w:szCs w:val="23"/>
                <w:lang w:val="bg-BG" w:bidi="ar-SA"/>
              </w:rPr>
              <w:t xml:space="preserve"> в лева</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sz w:val="23"/>
                <w:szCs w:val="23"/>
                <w:lang w:val="bg-BG" w:bidi="ar-SA"/>
              </w:rPr>
              <w:t xml:space="preserve">, </w:t>
            </w:r>
            <w:r w:rsidRPr="00E91C01">
              <w:rPr>
                <w:rFonts w:ascii="Cambria" w:eastAsia="Times New Roman" w:hAnsi="Cambria" w:cs="Times New Roman"/>
                <w:sz w:val="23"/>
                <w:szCs w:val="23"/>
                <w:lang w:val="bg-BG" w:bidi="ar-SA"/>
              </w:rPr>
              <w:t xml:space="preserve">от които ......................................... лв. </w:t>
            </w:r>
            <w:r w:rsidRPr="00E91C01">
              <w:rPr>
                <w:rFonts w:ascii="Cambria" w:eastAsia="Times New Roman" w:hAnsi="Cambria" w:cs="Times New Roman"/>
                <w:bCs/>
                <w:sz w:val="23"/>
                <w:szCs w:val="23"/>
                <w:lang w:val="en-GB" w:bidi="ar-SA"/>
              </w:rPr>
              <w:t>[</w:t>
            </w:r>
            <w:proofErr w:type="gramStart"/>
            <w:r w:rsidRPr="00E91C01">
              <w:rPr>
                <w:rFonts w:ascii="Cambria" w:eastAsia="Times New Roman" w:hAnsi="Cambria" w:cs="Times New Roman"/>
                <w:bCs/>
                <w:i/>
                <w:sz w:val="23"/>
                <w:szCs w:val="23"/>
                <w:lang w:val="bg-BG" w:bidi="ar-SA"/>
              </w:rPr>
              <w:t>словом</w:t>
            </w:r>
            <w:proofErr w:type="gramEnd"/>
            <w:r w:rsidRPr="00E91C01">
              <w:rPr>
                <w:rFonts w:ascii="Cambria" w:eastAsia="Times New Roman" w:hAnsi="Cambria" w:cs="Times New Roman"/>
                <w:bCs/>
                <w:i/>
                <w:sz w:val="23"/>
                <w:szCs w:val="23"/>
                <w:lang w:val="bg-BG" w:bidi="ar-SA"/>
              </w:rPr>
              <w:t xml:space="preserve"> в лева</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sz w:val="23"/>
                <w:szCs w:val="23"/>
                <w:lang w:val="bg-BG" w:bidi="ar-SA"/>
              </w:rPr>
              <w:t xml:space="preserve"> </w:t>
            </w:r>
            <w:r w:rsidRPr="00E91C01">
              <w:rPr>
                <w:rFonts w:ascii="Cambria" w:eastAsia="Times New Roman" w:hAnsi="Cambria" w:cs="Times New Roman"/>
                <w:sz w:val="23"/>
                <w:szCs w:val="23"/>
                <w:lang w:val="bg-BG" w:bidi="ar-SA"/>
              </w:rPr>
              <w:t xml:space="preserve">финансиране по Механизма за възстановяване и устойчивост и ................................. лв. </w:t>
            </w:r>
            <w:r w:rsidRPr="00E91C01">
              <w:rPr>
                <w:rFonts w:ascii="Cambria" w:eastAsia="Times New Roman" w:hAnsi="Cambria" w:cs="Times New Roman"/>
                <w:bCs/>
                <w:sz w:val="23"/>
                <w:szCs w:val="23"/>
                <w:lang w:val="en-GB" w:bidi="ar-SA"/>
              </w:rPr>
              <w:t>[</w:t>
            </w:r>
            <w:proofErr w:type="gramStart"/>
            <w:r w:rsidRPr="00E91C01">
              <w:rPr>
                <w:rFonts w:ascii="Cambria" w:eastAsia="Times New Roman" w:hAnsi="Cambria" w:cs="Times New Roman"/>
                <w:bCs/>
                <w:i/>
                <w:sz w:val="23"/>
                <w:szCs w:val="23"/>
                <w:lang w:val="bg-BG" w:bidi="ar-SA"/>
              </w:rPr>
              <w:t>словом</w:t>
            </w:r>
            <w:proofErr w:type="gramEnd"/>
            <w:r w:rsidRPr="00E91C01">
              <w:rPr>
                <w:rFonts w:ascii="Cambria" w:eastAsia="Times New Roman" w:hAnsi="Cambria" w:cs="Times New Roman"/>
                <w:bCs/>
                <w:i/>
                <w:sz w:val="23"/>
                <w:szCs w:val="23"/>
                <w:lang w:val="bg-BG" w:bidi="ar-SA"/>
              </w:rPr>
              <w:t xml:space="preserve"> в лева</w:t>
            </w:r>
            <w:r w:rsidRPr="00E91C01">
              <w:rPr>
                <w:rFonts w:ascii="Cambria" w:eastAsia="Times New Roman" w:hAnsi="Cambria" w:cs="Times New Roman"/>
                <w:bCs/>
                <w:sz w:val="23"/>
                <w:szCs w:val="23"/>
                <w:lang w:val="en-GB" w:bidi="ar-SA"/>
              </w:rPr>
              <w:t>]</w:t>
            </w:r>
            <w:r w:rsidRPr="00E91C01">
              <w:rPr>
                <w:rFonts w:ascii="Cambria" w:eastAsia="Times New Roman" w:hAnsi="Cambria" w:cs="Times New Roman"/>
                <w:bCs/>
                <w:sz w:val="23"/>
                <w:szCs w:val="23"/>
                <w:lang w:val="bg-BG" w:bidi="ar-SA"/>
              </w:rPr>
              <w:t xml:space="preserve"> </w:t>
            </w:r>
            <w:r w:rsidRPr="00E91C01">
              <w:rPr>
                <w:rFonts w:ascii="Cambria" w:eastAsia="Times New Roman" w:hAnsi="Cambria" w:cs="Times New Roman"/>
                <w:sz w:val="23"/>
                <w:szCs w:val="23"/>
                <w:lang w:val="bg-BG" w:bidi="ar-SA"/>
              </w:rPr>
              <w:t xml:space="preserve">за невъзстановим данък добавена стойност като национално публично финансиране, както е посочено в секция „Бюджет“ от  Приложение І към настоящия договор. </w:t>
            </w:r>
          </w:p>
        </w:tc>
      </w:tr>
      <w:tr w:rsidR="00F748EB" w:rsidRPr="00E91C01" w14:paraId="6214D309" w14:textId="77777777" w:rsidTr="00E04610">
        <w:tc>
          <w:tcPr>
            <w:tcW w:w="709" w:type="dxa"/>
            <w:shd w:val="clear" w:color="auto" w:fill="auto"/>
          </w:tcPr>
          <w:p w14:paraId="33CDB422" w14:textId="77777777" w:rsidR="00F748EB" w:rsidRPr="00E91C01" w:rsidRDefault="00F748EB" w:rsidP="00F748EB">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70F12736" w14:textId="0B593EA0" w:rsidR="00F748EB" w:rsidRPr="00856F58" w:rsidRDefault="00F748EB" w:rsidP="00E04610">
            <w:pPr>
              <w:spacing w:after="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w:t>
            </w:r>
            <w:r w:rsidRPr="00856F58">
              <w:rPr>
                <w:rFonts w:ascii="Cambria" w:eastAsia="Times New Roman" w:hAnsi="Cambria" w:cs="Times New Roman"/>
                <w:sz w:val="23"/>
                <w:szCs w:val="23"/>
                <w:lang w:val="bg-BG" w:bidi="ar-SA"/>
              </w:rPr>
              <w:t>СНД извършва плащания към Крайния получател</w:t>
            </w:r>
            <w:r w:rsidR="00800E14">
              <w:rPr>
                <w:rFonts w:ascii="Cambria" w:eastAsia="Times New Roman" w:hAnsi="Cambria" w:cs="Times New Roman"/>
                <w:sz w:val="23"/>
                <w:szCs w:val="23"/>
                <w:lang w:val="bg-BG" w:bidi="ar-SA"/>
              </w:rPr>
              <w:t xml:space="preserve"> </w:t>
            </w:r>
            <w:r w:rsidRPr="00856F58">
              <w:rPr>
                <w:rFonts w:ascii="Cambria" w:eastAsia="Times New Roman" w:hAnsi="Cambria" w:cs="Times New Roman"/>
                <w:sz w:val="23"/>
                <w:szCs w:val="23"/>
                <w:lang w:val="bg-BG" w:bidi="ar-SA"/>
              </w:rPr>
              <w:t>за възстановяване на вече извършени от него плащания със собствени средства свързани с</w:t>
            </w:r>
            <w:r w:rsidR="00800E14">
              <w:rPr>
                <w:rFonts w:ascii="Cambria" w:eastAsia="Times New Roman" w:hAnsi="Cambria" w:cs="Times New Roman"/>
                <w:sz w:val="23"/>
                <w:szCs w:val="23"/>
                <w:lang w:val="bg-BG" w:bidi="ar-SA"/>
              </w:rPr>
              <w:t xml:space="preserve"> изпълнение на инвестицията.</w:t>
            </w:r>
          </w:p>
          <w:p w14:paraId="6E7A3A20" w14:textId="4F4744DF" w:rsidR="00F748EB" w:rsidRPr="00E91C01" w:rsidRDefault="00F748EB" w:rsidP="00F748EB">
            <w:pPr>
              <w:pStyle w:val="ListParagraph"/>
              <w:numPr>
                <w:ilvl w:val="0"/>
                <w:numId w:val="4"/>
              </w:numPr>
              <w:spacing w:after="120" w:line="240" w:lineRule="auto"/>
              <w:ind w:left="0"/>
              <w:jc w:val="both"/>
              <w:rPr>
                <w:rFonts w:ascii="Cambria" w:eastAsia="Times New Roman" w:hAnsi="Cambria" w:cs="Times New Roman"/>
                <w:sz w:val="23"/>
                <w:szCs w:val="23"/>
                <w:lang w:val="bg-BG" w:bidi="ar-SA"/>
              </w:rPr>
            </w:pPr>
          </w:p>
        </w:tc>
      </w:tr>
      <w:tr w:rsidR="00F748EB" w:rsidRPr="00E91C01" w14:paraId="66F87D6E" w14:textId="77777777" w:rsidTr="00E04610">
        <w:tc>
          <w:tcPr>
            <w:tcW w:w="709" w:type="dxa"/>
            <w:shd w:val="clear" w:color="auto" w:fill="auto"/>
          </w:tcPr>
          <w:p w14:paraId="53F0F262"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6.3</w:t>
            </w:r>
          </w:p>
        </w:tc>
        <w:tc>
          <w:tcPr>
            <w:tcW w:w="8895" w:type="dxa"/>
            <w:shd w:val="clear" w:color="auto" w:fill="auto"/>
          </w:tcPr>
          <w:p w14:paraId="5D8F8BF1"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СНД извършва плащане след проверка и одобрение в ИС за ПВУ на ДФО, който е придружен от законосъобразни разходооправдателни документи и информация, съобразно изискванията на утвърденото Ръководство за изпълнение и отчитане на инвестициите и СУК_ПВУ.</w:t>
            </w:r>
          </w:p>
        </w:tc>
      </w:tr>
      <w:tr w:rsidR="00F748EB" w:rsidRPr="00E91C01" w14:paraId="6FF71E9C" w14:textId="77777777" w:rsidTr="00E04610">
        <w:tc>
          <w:tcPr>
            <w:tcW w:w="709" w:type="dxa"/>
            <w:shd w:val="clear" w:color="auto" w:fill="auto"/>
          </w:tcPr>
          <w:p w14:paraId="65F0DFD7"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6.4</w:t>
            </w:r>
          </w:p>
        </w:tc>
        <w:tc>
          <w:tcPr>
            <w:tcW w:w="8895" w:type="dxa"/>
            <w:shd w:val="clear" w:color="auto" w:fill="auto"/>
          </w:tcPr>
          <w:p w14:paraId="64C8371C"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СНД инициира плащанията по т.6.2 в електронното банкиране на БНБ и ги одобрява в Системата за електронни бюджетни разплащания СЕБРА.</w:t>
            </w:r>
          </w:p>
        </w:tc>
      </w:tr>
      <w:tr w:rsidR="00F748EB" w:rsidRPr="00E91C01" w14:paraId="7DDD4679" w14:textId="77777777" w:rsidTr="00E04610">
        <w:tc>
          <w:tcPr>
            <w:tcW w:w="709" w:type="dxa"/>
            <w:shd w:val="clear" w:color="auto" w:fill="auto"/>
          </w:tcPr>
          <w:p w14:paraId="765E470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6.5</w:t>
            </w:r>
          </w:p>
        </w:tc>
        <w:tc>
          <w:tcPr>
            <w:tcW w:w="8895" w:type="dxa"/>
            <w:shd w:val="clear" w:color="auto" w:fill="auto"/>
          </w:tcPr>
          <w:p w14:paraId="19D790DE"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Осчетоводяването на финансовата информация по МВУ от СНД се извършва чрез SAP система на Министерството на финансите.</w:t>
            </w:r>
          </w:p>
        </w:tc>
      </w:tr>
      <w:tr w:rsidR="00F748EB" w:rsidRPr="00E91C01" w14:paraId="55A9BFC3" w14:textId="77777777" w:rsidTr="00E04610">
        <w:tc>
          <w:tcPr>
            <w:tcW w:w="709" w:type="dxa"/>
            <w:shd w:val="clear" w:color="auto" w:fill="auto"/>
          </w:tcPr>
          <w:p w14:paraId="2CE5882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6.6</w:t>
            </w:r>
          </w:p>
        </w:tc>
        <w:tc>
          <w:tcPr>
            <w:tcW w:w="8895" w:type="dxa"/>
            <w:shd w:val="clear" w:color="auto" w:fill="auto"/>
          </w:tcPr>
          <w:p w14:paraId="7CA4B467"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Плащанията се извършват при наличие на разполагаем лимит или след залагане на лимит по десетразрядния код на СНД от страна на Дирекция „Национален фонд“ на Министерство на финансите.</w:t>
            </w:r>
          </w:p>
        </w:tc>
      </w:tr>
      <w:tr w:rsidR="00F748EB" w:rsidRPr="00E91C01" w14:paraId="399E7BDF" w14:textId="77777777" w:rsidTr="00E04610">
        <w:tc>
          <w:tcPr>
            <w:tcW w:w="709" w:type="dxa"/>
            <w:shd w:val="clear" w:color="auto" w:fill="auto"/>
          </w:tcPr>
          <w:p w14:paraId="6C2E8EDA"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6.7</w:t>
            </w:r>
          </w:p>
        </w:tc>
        <w:tc>
          <w:tcPr>
            <w:tcW w:w="8895" w:type="dxa"/>
            <w:shd w:val="clear" w:color="auto" w:fill="auto"/>
          </w:tcPr>
          <w:p w14:paraId="512B3A6E" w14:textId="77777777" w:rsidR="00F748EB"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СНД извършва плащания към Крайния получател за допустими разходи за изпълнение на инвестицията, финансирана от средства от МВУ и за невъзстановим съгласно националното законодателство данък добавена стойност, в съответствие с предмета и целта на проекта. </w:t>
            </w:r>
          </w:p>
          <w:p w14:paraId="026D63E8"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6.7.1. Разходи по инвестицията, извършени преди подписване на настоящия договор, подлежат на възстановяване,  при условие че са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  в срок до 30 работни дни съобразно изискванията и сроковете, определени в Приложение II към настоящия договор и утвърденото Ръководство за изпълнение и отчитане на инвестициите.</w:t>
            </w:r>
          </w:p>
        </w:tc>
      </w:tr>
      <w:tr w:rsidR="00F748EB" w:rsidRPr="00E91C01" w14:paraId="6350412B" w14:textId="77777777" w:rsidTr="00E04610">
        <w:tc>
          <w:tcPr>
            <w:tcW w:w="709" w:type="dxa"/>
            <w:shd w:val="clear" w:color="auto" w:fill="auto"/>
          </w:tcPr>
          <w:p w14:paraId="1002E386"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6.8</w:t>
            </w:r>
          </w:p>
        </w:tc>
        <w:tc>
          <w:tcPr>
            <w:tcW w:w="8895" w:type="dxa"/>
            <w:shd w:val="clear" w:color="auto" w:fill="auto"/>
          </w:tcPr>
          <w:p w14:paraId="59DF3710"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Плащанията не следва да надвишават стойността на договорените разходи по  настоящия Договор.</w:t>
            </w:r>
          </w:p>
        </w:tc>
      </w:tr>
      <w:tr w:rsidR="00F748EB" w:rsidRPr="00E91C01" w14:paraId="3F251A81" w14:textId="77777777" w:rsidTr="00E04610">
        <w:tc>
          <w:tcPr>
            <w:tcW w:w="709" w:type="dxa"/>
            <w:shd w:val="clear" w:color="auto" w:fill="auto"/>
          </w:tcPr>
          <w:p w14:paraId="18E0FF17"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6.9</w:t>
            </w:r>
          </w:p>
        </w:tc>
        <w:tc>
          <w:tcPr>
            <w:tcW w:w="8895" w:type="dxa"/>
            <w:shd w:val="clear" w:color="auto" w:fill="auto"/>
          </w:tcPr>
          <w:p w14:paraId="0AA6E17C"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Последното плащане, обосновано от Крайния получател с разходооправдателни документи е плащането, с което се достига сумата по т.6.1. Плащането може да бъде извършено частично, ако надвишава стойността на договорените и действително извършени разходи по настоящия Договор.</w:t>
            </w:r>
          </w:p>
        </w:tc>
      </w:tr>
      <w:tr w:rsidR="00F748EB" w:rsidRPr="00E91C01" w14:paraId="6F20BFFD" w14:textId="77777777" w:rsidTr="00E04610">
        <w:tc>
          <w:tcPr>
            <w:tcW w:w="709" w:type="dxa"/>
            <w:shd w:val="clear" w:color="auto" w:fill="auto"/>
          </w:tcPr>
          <w:p w14:paraId="0D76932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6.10</w:t>
            </w:r>
          </w:p>
        </w:tc>
        <w:tc>
          <w:tcPr>
            <w:tcW w:w="8895" w:type="dxa"/>
            <w:shd w:val="clear" w:color="auto" w:fill="auto"/>
          </w:tcPr>
          <w:p w14:paraId="18F7A27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hAnsi="Cambria"/>
                <w:sz w:val="23"/>
                <w:szCs w:val="23"/>
                <w:lang w:val="bg-BG"/>
              </w:rPr>
              <w:t>Крайният получател</w:t>
            </w:r>
            <w:r w:rsidRPr="00E91C01">
              <w:rPr>
                <w:rFonts w:ascii="Cambria" w:eastAsia="Times New Roman" w:hAnsi="Cambria" w:cs="Times New Roman"/>
                <w:sz w:val="23"/>
                <w:szCs w:val="23"/>
                <w:lang w:val="bg-BG" w:bidi="ar-SA"/>
              </w:rPr>
              <w:t xml:space="preserve"> </w:t>
            </w:r>
            <w:r w:rsidRPr="00856F58">
              <w:rPr>
                <w:rFonts w:ascii="Cambria" w:eastAsia="Times New Roman" w:hAnsi="Cambria" w:cs="Times New Roman"/>
                <w:sz w:val="23"/>
                <w:szCs w:val="23"/>
                <w:lang w:val="bg-BG" w:bidi="ar-SA"/>
              </w:rPr>
              <w:t xml:space="preserve">отчита напредъка и предоставя информация и документи </w:t>
            </w:r>
            <w:r w:rsidRPr="00E91C01">
              <w:rPr>
                <w:rFonts w:ascii="Cambria" w:eastAsia="Times New Roman" w:hAnsi="Cambria" w:cs="Times New Roman"/>
                <w:sz w:val="23"/>
                <w:szCs w:val="23"/>
                <w:lang w:val="bg-BG" w:bidi="ar-SA"/>
              </w:rPr>
              <w:t>по изпълнението на етапите и целите, заложени в проектното предложение чрез ФТО, посредством ИС на МВУ, най-малко веднъж в рамките на съответното тримесечие. Сроковете за представяне на ФТО се уреждат в Ръководство за изпълнение и отчитане на инвестициите по настоящата процедура.</w:t>
            </w:r>
          </w:p>
        </w:tc>
      </w:tr>
      <w:tr w:rsidR="00F748EB" w:rsidRPr="00E91C01" w14:paraId="30407D74" w14:textId="77777777" w:rsidTr="00E04610">
        <w:tc>
          <w:tcPr>
            <w:tcW w:w="709" w:type="dxa"/>
            <w:shd w:val="clear" w:color="auto" w:fill="auto"/>
          </w:tcPr>
          <w:p w14:paraId="56724A6A"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6.11</w:t>
            </w:r>
          </w:p>
        </w:tc>
        <w:tc>
          <w:tcPr>
            <w:tcW w:w="8895" w:type="dxa"/>
            <w:shd w:val="clear" w:color="auto" w:fill="auto"/>
          </w:tcPr>
          <w:p w14:paraId="799DA7EF"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 сключването на Договора Крайният получател уведомява СНД за банковата сметка, по която ще се извършват плащанията чрез представяне на финансова идентификационна форма [по образец на СНД].</w:t>
            </w:r>
          </w:p>
        </w:tc>
      </w:tr>
      <w:tr w:rsidR="00F748EB" w:rsidRPr="00E91C01" w14:paraId="5150E75F" w14:textId="77777777" w:rsidTr="00E04610">
        <w:tc>
          <w:tcPr>
            <w:tcW w:w="709" w:type="dxa"/>
            <w:shd w:val="clear" w:color="auto" w:fill="auto"/>
          </w:tcPr>
          <w:p w14:paraId="351987E9"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6.12</w:t>
            </w:r>
          </w:p>
        </w:tc>
        <w:tc>
          <w:tcPr>
            <w:tcW w:w="8895" w:type="dxa"/>
            <w:shd w:val="clear" w:color="auto" w:fill="auto"/>
          </w:tcPr>
          <w:p w14:paraId="2F7FB50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КП ежемесечно въвежда в ИС на ПВУ прогноза за предстоящите плащания през текущия и следващия месец в сроковете указани в Ръководството за изпълнение и отчитане на инвестициите по настоящата процедура.</w:t>
            </w:r>
          </w:p>
        </w:tc>
      </w:tr>
      <w:tr w:rsidR="00F748EB" w:rsidRPr="00E91C01" w14:paraId="7DDE9DAC" w14:textId="77777777" w:rsidTr="00E04610">
        <w:tc>
          <w:tcPr>
            <w:tcW w:w="709" w:type="dxa"/>
            <w:shd w:val="clear" w:color="auto" w:fill="auto"/>
          </w:tcPr>
          <w:p w14:paraId="27C8FDD5"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6.13</w:t>
            </w:r>
          </w:p>
        </w:tc>
        <w:tc>
          <w:tcPr>
            <w:tcW w:w="8895" w:type="dxa"/>
            <w:shd w:val="clear" w:color="auto" w:fill="auto"/>
          </w:tcPr>
          <w:p w14:paraId="64BE917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Крайният получател поддържа счетоводна система, позволяваща аналитична отчетност за  всички разходи и извършени плащания по Инвестицията, за вземанията и задълженията, от която да са видни счетоводните сметки, създадени за целите на МВУ с цел разграничаване на разходите и на финансовите потоци при финансиране от други източници, както и да се осигури съпоставимост с финансовата информация, която се посочва </w:t>
            </w:r>
            <w:r w:rsidRPr="00537344">
              <w:rPr>
                <w:rFonts w:ascii="Cambria" w:eastAsia="Times New Roman" w:hAnsi="Cambria" w:cs="Times New Roman"/>
                <w:sz w:val="23"/>
                <w:szCs w:val="23"/>
                <w:lang w:val="bg-BG" w:bidi="ar-SA"/>
              </w:rPr>
              <w:t>в ДФО и/или ФТО</w:t>
            </w:r>
            <w:r w:rsidRPr="00E91C01">
              <w:rPr>
                <w:rFonts w:ascii="Cambria" w:eastAsia="Times New Roman" w:hAnsi="Cambria" w:cs="Times New Roman"/>
                <w:sz w:val="23"/>
                <w:szCs w:val="23"/>
                <w:lang w:val="bg-BG" w:bidi="ar-SA"/>
              </w:rPr>
              <w:t>.</w:t>
            </w:r>
          </w:p>
        </w:tc>
      </w:tr>
      <w:tr w:rsidR="00F748EB" w:rsidRPr="00E91C01" w14:paraId="49D8E498" w14:textId="77777777" w:rsidTr="00E04610">
        <w:tc>
          <w:tcPr>
            <w:tcW w:w="709" w:type="dxa"/>
            <w:shd w:val="clear" w:color="auto" w:fill="auto"/>
          </w:tcPr>
          <w:p w14:paraId="6053D8D4"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6.14</w:t>
            </w:r>
          </w:p>
        </w:tc>
        <w:tc>
          <w:tcPr>
            <w:tcW w:w="8895" w:type="dxa"/>
            <w:shd w:val="clear" w:color="auto" w:fill="auto"/>
          </w:tcPr>
          <w:p w14:paraId="0BB214E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Счетоводната отчетност следва да се прилага в съответствие с приложимото национално законодателство. Счетоводните отчети и разходите, свързани с Инвестицията, трябва да подлежат на ясно идентифициране и проверка.</w:t>
            </w:r>
          </w:p>
        </w:tc>
      </w:tr>
      <w:tr w:rsidR="00F748EB" w:rsidRPr="00E91C01" w14:paraId="437B2642" w14:textId="77777777" w:rsidTr="00E04610">
        <w:tc>
          <w:tcPr>
            <w:tcW w:w="709" w:type="dxa"/>
            <w:shd w:val="clear" w:color="auto" w:fill="auto"/>
          </w:tcPr>
          <w:p w14:paraId="20C66CAB"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6.15</w:t>
            </w:r>
          </w:p>
        </w:tc>
        <w:tc>
          <w:tcPr>
            <w:tcW w:w="8895" w:type="dxa"/>
            <w:shd w:val="clear" w:color="auto" w:fill="auto"/>
          </w:tcPr>
          <w:p w14:paraId="7743A09A" w14:textId="77777777" w:rsidR="00F748EB" w:rsidRPr="00856F58"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1. Образуване на досъдебно производство за престъпление от общ характер, касаещо инвестиция от ПВУ;</w:t>
            </w:r>
          </w:p>
          <w:p w14:paraId="787534E5"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2.</w:t>
            </w:r>
            <w:r w:rsidRPr="00856F58">
              <w:rPr>
                <w:rFonts w:ascii="Cambria" w:eastAsia="Times New Roman" w:hAnsi="Cambria" w:cs="Times New Roman"/>
                <w:sz w:val="23"/>
                <w:szCs w:val="23"/>
                <w:lang w:val="bg-BG" w:bidi="ar-SA"/>
              </w:rPr>
              <w:tab/>
              <w:t>Образуване на производство за установяване на конфликт на интереси по ЗПК.</w:t>
            </w:r>
          </w:p>
        </w:tc>
      </w:tr>
      <w:tr w:rsidR="00F748EB" w:rsidRPr="00E91C01" w14:paraId="7B9A4F80" w14:textId="77777777" w:rsidTr="00E04610">
        <w:tc>
          <w:tcPr>
            <w:tcW w:w="709" w:type="dxa"/>
            <w:shd w:val="clear" w:color="auto" w:fill="auto"/>
          </w:tcPr>
          <w:p w14:paraId="66778F8F"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6.16</w:t>
            </w:r>
          </w:p>
        </w:tc>
        <w:tc>
          <w:tcPr>
            <w:tcW w:w="8895" w:type="dxa"/>
            <w:shd w:val="clear" w:color="auto" w:fill="auto"/>
          </w:tcPr>
          <w:p w14:paraId="13CB5C2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В случаите по т. 6.15 плащанията се възобновяват при отстраняване от инвестицията на лицето/лицата, спрямо което/които е налице повдигнато обвинение по т.1, или за които е установено, че е налице конфликт на интереси в случаите по т. 2.</w:t>
            </w:r>
          </w:p>
        </w:tc>
      </w:tr>
      <w:tr w:rsidR="00F748EB" w:rsidRPr="00E91C01" w14:paraId="41C2B28E" w14:textId="77777777" w:rsidTr="00E04610">
        <w:tc>
          <w:tcPr>
            <w:tcW w:w="709" w:type="dxa"/>
            <w:shd w:val="clear" w:color="auto" w:fill="auto"/>
          </w:tcPr>
          <w:p w14:paraId="69E8E8D1"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6.17</w:t>
            </w:r>
          </w:p>
        </w:tc>
        <w:tc>
          <w:tcPr>
            <w:tcW w:w="8895" w:type="dxa"/>
            <w:shd w:val="clear" w:color="auto" w:fill="auto"/>
          </w:tcPr>
          <w:p w14:paraId="27389BEE"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СНД спира  плащанията  по договора за финансиране и в случаите на установено двойно финансиране, неотстранени финансови или технически несъответствия в изпълнението на инвестицията, установени при проверка на място или по документи.</w:t>
            </w:r>
          </w:p>
        </w:tc>
      </w:tr>
    </w:tbl>
    <w:p w14:paraId="6548DB28" w14:textId="77777777" w:rsidR="00F748EB" w:rsidRPr="00E91C01" w:rsidRDefault="00F748EB" w:rsidP="00F748EB">
      <w:pPr>
        <w:tabs>
          <w:tab w:val="left" w:pos="-1440"/>
          <w:tab w:val="left" w:pos="-720"/>
        </w:tabs>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ab/>
      </w:r>
    </w:p>
    <w:p w14:paraId="370C8B1D" w14:textId="77777777" w:rsidR="00F748EB" w:rsidRPr="00E91C01" w:rsidRDefault="00F748EB" w:rsidP="00F748EB">
      <w:pPr>
        <w:spacing w:after="24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Член 7. Възстановяване на средства от Крайния получател по договора. Възстановяване на неправомерно предоставена помощ</w:t>
      </w:r>
    </w:p>
    <w:p w14:paraId="77419B7E"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7.1.</w:t>
      </w:r>
      <w:r w:rsidRPr="00E91C01">
        <w:rPr>
          <w:rFonts w:ascii="Cambria" w:eastAsia="Times New Roman" w:hAnsi="Cambria" w:cs="Times New Roman"/>
          <w:sz w:val="23"/>
          <w:szCs w:val="23"/>
          <w:lang w:val="bg-BG" w:bidi="ar-SA"/>
        </w:rPr>
        <w:tab/>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2AF72750"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7.2.</w:t>
      </w:r>
      <w:r w:rsidRPr="00E91C01">
        <w:rPr>
          <w:rFonts w:ascii="Cambria" w:eastAsia="Times New Roman" w:hAnsi="Cambria" w:cs="Times New Roman"/>
          <w:sz w:val="23"/>
          <w:szCs w:val="23"/>
          <w:lang w:val="bg-BG" w:bidi="ar-SA"/>
        </w:rPr>
        <w:tab/>
        <w:t xml:space="preserve">Намаляването на плащанията по МВУ, в случаите на двойно финансиране, финансови или технически несъответствия в изпълнението на инвестицията, пропуски установени при проверка на </w:t>
      </w:r>
      <w:r w:rsidRPr="00856F58">
        <w:rPr>
          <w:rFonts w:ascii="Cambria" w:eastAsia="Times New Roman" w:hAnsi="Cambria" w:cs="Times New Roman"/>
          <w:sz w:val="23"/>
          <w:szCs w:val="23"/>
          <w:lang w:val="bg-BG" w:bidi="ar-SA"/>
        </w:rPr>
        <w:t>ДФО и/или ФТО</w:t>
      </w:r>
      <w:r w:rsidRPr="00E91C01">
        <w:rPr>
          <w:rFonts w:ascii="Cambria" w:eastAsia="Times New Roman" w:hAnsi="Cambria" w:cs="Times New Roman"/>
          <w:sz w:val="23"/>
          <w:szCs w:val="23"/>
          <w:lang w:val="bg-BG" w:bidi="ar-SA"/>
        </w:rPr>
        <w:t>, подаден от Крайния получател и довели до надплащане на разходи, се извършва чрез коригиране на финансирането, отпуснато с договора за предоставяне на средства от МВУ, а за бюджетните организации по смисъла на § 1, т. 5 от ДР на ЗПФ – и за невъзстановимия съгласно националното законодателство данък добавена стойност, което съгласно сключения договор за финансиране със СНД Крайният получател следва да получи.</w:t>
      </w:r>
    </w:p>
    <w:p w14:paraId="66ABE953"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7.3. </w:t>
      </w:r>
      <w:r w:rsidRPr="00E91C01">
        <w:rPr>
          <w:rFonts w:ascii="Cambria" w:eastAsia="Times New Roman" w:hAnsi="Cambria" w:cs="Times New Roman"/>
          <w:sz w:val="23"/>
          <w:szCs w:val="23"/>
          <w:lang w:val="bg-BG" w:bidi="ar-SA"/>
        </w:rPr>
        <w:tab/>
        <w:t>Извършените намаления по т. 7.2. на финансирането по договора следва да бъдат осигурени като собствен принос от Крайният получател.</w:t>
      </w:r>
    </w:p>
    <w:p w14:paraId="6C22F702"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7.4.</w:t>
      </w:r>
      <w:r w:rsidRPr="00E91C01">
        <w:rPr>
          <w:rFonts w:ascii="Cambria" w:eastAsia="Times New Roman" w:hAnsi="Cambria" w:cs="Times New Roman"/>
          <w:sz w:val="23"/>
          <w:szCs w:val="23"/>
          <w:lang w:val="bg-BG" w:bidi="ar-SA"/>
        </w:rPr>
        <w:tab/>
        <w:t>В  случаите, в които договорът е приключил, плащанията са вече извършени и СНД установи дължима/надплатена сума, същата подлежи на възстановяване на СНД, като възстановяването на недължимо платените и надплатените суми, както и на неправомерно получените или неправомерно усвоените средства ще се извършва в съответствие с установения ред, съгласно действащите нормативни актове.</w:t>
      </w:r>
    </w:p>
    <w:p w14:paraId="146AEA1C"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7.5.</w:t>
      </w:r>
      <w:r w:rsidRPr="00E91C01">
        <w:rPr>
          <w:rFonts w:ascii="Cambria" w:eastAsia="Times New Roman" w:hAnsi="Cambria" w:cs="Times New Roman"/>
          <w:sz w:val="23"/>
          <w:szCs w:val="23"/>
          <w:lang w:val="bg-BG" w:bidi="ar-SA"/>
        </w:rPr>
        <w:tab/>
        <w:t>В случаите на влязла в сила присъда за измама или корупция или влязъл в сила акт за установяване на конфликт на интереси, извършените плащания по засегнатата от сериозната нередност инвестиция или компонент от нея са дължими за възстановяване от Крайния получател към държавния бюджет. Ако плащанията не са направени се извършва съответно намаляване на финансирането.</w:t>
      </w:r>
    </w:p>
    <w:p w14:paraId="64A3FAAD" w14:textId="77777777" w:rsidR="00F748EB" w:rsidRPr="00E91C01" w:rsidRDefault="00F748EB" w:rsidP="00F748EB">
      <w:pPr>
        <w:spacing w:after="24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7.6.</w:t>
      </w:r>
      <w:r w:rsidRPr="00E91C01">
        <w:rPr>
          <w:rFonts w:ascii="Cambria" w:eastAsia="Times New Roman" w:hAnsi="Cambria" w:cs="Times New Roman"/>
          <w:sz w:val="23"/>
          <w:szCs w:val="23"/>
          <w:lang w:val="bg-BG" w:bidi="ar-SA"/>
        </w:rPr>
        <w:tab/>
        <w:t>За намалено финансиране и/или за надплатена сума със средства от МВУ и национално финансиране, или ангажимент за плащане на СНД по инвестицията, СНД информира Крайния получател, като надплатената сума подлежи на възстановяване към Министерството на финансите.</w:t>
      </w:r>
    </w:p>
    <w:p w14:paraId="01D4BC22" w14:textId="77777777" w:rsidR="00F748EB" w:rsidRPr="00E91C01" w:rsidRDefault="00F748EB" w:rsidP="00F748EB">
      <w:pPr>
        <w:spacing w:after="0" w:line="240" w:lineRule="auto"/>
        <w:ind w:left="567" w:hanging="56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7.7.</w:t>
      </w:r>
      <w:r w:rsidRPr="00E91C01">
        <w:rPr>
          <w:rFonts w:ascii="Cambria" w:eastAsia="Times New Roman" w:hAnsi="Cambria" w:cs="Times New Roman"/>
          <w:sz w:val="23"/>
          <w:szCs w:val="23"/>
          <w:lang w:val="bg-BG" w:bidi="ar-SA"/>
        </w:rPr>
        <w:tab/>
        <w:t>Сумите, включително лихвите по тях, подлежащи на възстановяване от Крайния получател, могат да бъдат прихванати от всякакви суми, дължими от СНД към Крайния получател по договора за предоставяне на средства от МВУ, а при липса на такива -  задълженията се предават за събиране от Националната агенция по приходите, а за бюджетните организации се прилагат разпоредбите на ЗПФ.</w:t>
      </w:r>
    </w:p>
    <w:p w14:paraId="59420C70" w14:textId="77777777" w:rsidR="00F748EB" w:rsidRPr="00E91C01" w:rsidRDefault="00F748EB" w:rsidP="00F748EB">
      <w:pPr>
        <w:tabs>
          <w:tab w:val="left" w:pos="-1440"/>
          <w:tab w:val="left" w:pos="-720"/>
        </w:tabs>
        <w:spacing w:after="120" w:line="240" w:lineRule="auto"/>
        <w:jc w:val="both"/>
        <w:rPr>
          <w:rFonts w:ascii="Cambria" w:eastAsia="Times New Roman" w:hAnsi="Cambria" w:cs="Times New Roman"/>
          <w:sz w:val="23"/>
          <w:szCs w:val="23"/>
          <w:lang w:val="bg-BG" w:bidi="ar-SA"/>
        </w:rPr>
      </w:pPr>
    </w:p>
    <w:p w14:paraId="55E40559" w14:textId="77777777" w:rsidR="00F748EB" w:rsidRPr="00E91C01" w:rsidRDefault="00F748EB" w:rsidP="00F748EB">
      <w:pPr>
        <w:spacing w:after="120" w:line="240" w:lineRule="auto"/>
        <w:ind w:left="567" w:hanging="567"/>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Член 8. </w:t>
      </w:r>
      <w:r w:rsidRPr="00E91C01">
        <w:rPr>
          <w:rFonts w:ascii="Cambria" w:hAnsi="Cambria" w:cs="Times New Roman"/>
          <w:b/>
          <w:bCs/>
          <w:sz w:val="23"/>
          <w:szCs w:val="23"/>
          <w:lang w:val="bg-BG"/>
        </w:rPr>
        <w:t xml:space="preserve">Публичност. </w:t>
      </w:r>
      <w:r w:rsidRPr="00E91C01">
        <w:rPr>
          <w:rFonts w:ascii="Cambria" w:eastAsia="Times New Roman" w:hAnsi="Cambria" w:cs="Times New Roman"/>
          <w:b/>
          <w:sz w:val="23"/>
          <w:szCs w:val="23"/>
          <w:lang w:val="bg-BG" w:bidi="ar-SA"/>
        </w:rPr>
        <w:t>Адреси за кореспонденция</w:t>
      </w:r>
    </w:p>
    <w:tbl>
      <w:tblPr>
        <w:tblW w:w="0" w:type="auto"/>
        <w:tblInd w:w="-34" w:type="dxa"/>
        <w:tblLayout w:type="fixed"/>
        <w:tblLook w:val="04A0" w:firstRow="1" w:lastRow="0" w:firstColumn="1" w:lastColumn="0" w:noHBand="0" w:noVBand="1"/>
      </w:tblPr>
      <w:tblGrid>
        <w:gridCol w:w="709"/>
        <w:gridCol w:w="8895"/>
      </w:tblGrid>
      <w:tr w:rsidR="00F748EB" w:rsidRPr="00E91C01" w14:paraId="2A512B20" w14:textId="77777777" w:rsidTr="00E04610">
        <w:tc>
          <w:tcPr>
            <w:tcW w:w="709" w:type="dxa"/>
            <w:shd w:val="clear" w:color="auto" w:fill="auto"/>
          </w:tcPr>
          <w:p w14:paraId="27ADFDF3"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8.1.</w:t>
            </w:r>
          </w:p>
        </w:tc>
        <w:tc>
          <w:tcPr>
            <w:tcW w:w="8895" w:type="dxa"/>
            <w:shd w:val="clear" w:color="auto" w:fill="auto"/>
          </w:tcPr>
          <w:p w14:paraId="58F42C37"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Крайният получател да посочва Механизма за възстановяване и устойчивост като източник на финансиране на инвестицията и да осигуряват видимост, включително чрез поставяне на емблемата на Съюза и на подходящо указание за </w:t>
            </w:r>
            <w:r w:rsidRPr="00E91C01">
              <w:rPr>
                <w:rFonts w:ascii="Cambria" w:eastAsia="Times New Roman" w:hAnsi="Cambria" w:cs="Times New Roman"/>
                <w:sz w:val="23"/>
                <w:szCs w:val="23"/>
                <w:lang w:val="bg-BG" w:bidi="ar-SA"/>
              </w:rPr>
              <w:lastRenderedPageBreak/>
              <w:t>финансирането, например „финансирано от Европейския съюз – NextGenerationEU".</w:t>
            </w:r>
          </w:p>
        </w:tc>
      </w:tr>
      <w:tr w:rsidR="00F748EB" w:rsidRPr="00E91C01" w14:paraId="6C249EE6" w14:textId="77777777" w:rsidTr="00E04610">
        <w:tc>
          <w:tcPr>
            <w:tcW w:w="709" w:type="dxa"/>
            <w:shd w:val="clear" w:color="auto" w:fill="auto"/>
          </w:tcPr>
          <w:p w14:paraId="06F028BF"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8.2</w:t>
            </w:r>
          </w:p>
          <w:p w14:paraId="4657CAC1"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p>
        </w:tc>
        <w:tc>
          <w:tcPr>
            <w:tcW w:w="8895" w:type="dxa"/>
            <w:shd w:val="clear" w:color="auto" w:fill="auto"/>
          </w:tcPr>
          <w:p w14:paraId="310A1DC3"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за ПВУ.</w:t>
            </w:r>
          </w:p>
        </w:tc>
      </w:tr>
      <w:tr w:rsidR="00F748EB" w:rsidRPr="00E91C01" w14:paraId="76BA2843" w14:textId="77777777" w:rsidTr="00E04610">
        <w:tc>
          <w:tcPr>
            <w:tcW w:w="709" w:type="dxa"/>
            <w:shd w:val="clear" w:color="auto" w:fill="auto"/>
          </w:tcPr>
          <w:p w14:paraId="53F0CE52"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8.3.</w:t>
            </w:r>
          </w:p>
        </w:tc>
        <w:tc>
          <w:tcPr>
            <w:tcW w:w="8895" w:type="dxa"/>
            <w:shd w:val="clear" w:color="auto" w:fill="auto"/>
          </w:tcPr>
          <w:p w14:paraId="582807DD" w14:textId="77777777" w:rsidR="00F748EB" w:rsidRPr="00E91C01" w:rsidRDefault="00F748EB" w:rsidP="00E04610">
            <w:pPr>
              <w:spacing w:after="120" w:line="240" w:lineRule="auto"/>
              <w:ind w:left="3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Страни по договора за финансиране могат да осъществяват кореспонденция и  на следните адреси:</w:t>
            </w:r>
          </w:p>
          <w:tbl>
            <w:tblPr>
              <w:tblW w:w="0" w:type="auto"/>
              <w:tblInd w:w="37" w:type="dxa"/>
              <w:tblLayout w:type="fixed"/>
              <w:tblLook w:val="04A0" w:firstRow="1" w:lastRow="0" w:firstColumn="1" w:lastColumn="0" w:noHBand="0" w:noVBand="1"/>
            </w:tblPr>
            <w:tblGrid>
              <w:gridCol w:w="2974"/>
              <w:gridCol w:w="5451"/>
            </w:tblGrid>
            <w:tr w:rsidR="00F748EB" w:rsidRPr="00E91C01" w14:paraId="08516A46" w14:textId="77777777" w:rsidTr="00E04610">
              <w:tc>
                <w:tcPr>
                  <w:tcW w:w="2974" w:type="dxa"/>
                  <w:shd w:val="clear" w:color="auto" w:fill="auto"/>
                </w:tcPr>
                <w:p w14:paraId="12C28E97"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За Ръководителя на СНД:</w:t>
                  </w:r>
                </w:p>
              </w:tc>
              <w:tc>
                <w:tcPr>
                  <w:tcW w:w="5451" w:type="dxa"/>
                  <w:shd w:val="clear" w:color="auto" w:fill="auto"/>
                </w:tcPr>
                <w:p w14:paraId="4CE5008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i/>
                      <w:iCs/>
                      <w:sz w:val="23"/>
                      <w:szCs w:val="23"/>
                      <w:lang w:val="bg-BG" w:bidi="ar-SA"/>
                    </w:rPr>
                    <w:t xml:space="preserve">Българска академия на науките, </w:t>
                  </w:r>
                  <w:r w:rsidRPr="00E91C01">
                    <w:rPr>
                      <w:rFonts w:ascii="Cambria" w:eastAsia="Times New Roman" w:hAnsi="Cambria" w:cs="Times New Roman"/>
                      <w:sz w:val="23"/>
                      <w:szCs w:val="23"/>
                      <w:lang w:val="bg-BG" w:bidi="ar-SA"/>
                    </w:rPr>
                    <w:t>София, 1040, ул. „15 ноември“ №1</w:t>
                  </w:r>
                  <w:r w:rsidRPr="00E91C01">
                    <w:rPr>
                      <w:rFonts w:ascii="Cambria" w:eastAsia="Times New Roman" w:hAnsi="Cambria" w:cs="Times New Roman"/>
                      <w:i/>
                      <w:iCs/>
                      <w:sz w:val="23"/>
                      <w:szCs w:val="23"/>
                      <w:lang w:val="en-GB" w:bidi="ar-SA"/>
                    </w:rPr>
                    <w:t xml:space="preserve">, </w:t>
                  </w:r>
                </w:p>
              </w:tc>
            </w:tr>
            <w:tr w:rsidR="00F748EB" w:rsidRPr="00E91C01" w14:paraId="1898D651" w14:textId="77777777" w:rsidTr="00E04610">
              <w:tc>
                <w:tcPr>
                  <w:tcW w:w="2974" w:type="dxa"/>
                  <w:shd w:val="clear" w:color="auto" w:fill="auto"/>
                </w:tcPr>
                <w:p w14:paraId="3666BA40"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За Крайния получател:</w:t>
                  </w:r>
                </w:p>
              </w:tc>
              <w:tc>
                <w:tcPr>
                  <w:tcW w:w="5451" w:type="dxa"/>
                  <w:shd w:val="clear" w:color="auto" w:fill="auto"/>
                </w:tcPr>
                <w:p w14:paraId="1E03F348"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w:t>
                  </w:r>
                  <w:r w:rsidRPr="00E91C01">
                    <w:rPr>
                      <w:rFonts w:ascii="Cambria" w:eastAsia="Times New Roman" w:hAnsi="Cambria" w:cs="Times New Roman"/>
                      <w:i/>
                      <w:iCs/>
                      <w:sz w:val="23"/>
                      <w:szCs w:val="23"/>
                      <w:lang w:val="bg-BG" w:bidi="ar-SA"/>
                    </w:rPr>
                    <w:t>адрес за кореспонденция на крайния получател</w:t>
                  </w:r>
                  <w:r w:rsidRPr="00E91C01">
                    <w:rPr>
                      <w:rFonts w:ascii="Cambria" w:eastAsia="Times New Roman" w:hAnsi="Cambria" w:cs="Times New Roman"/>
                      <w:sz w:val="23"/>
                      <w:szCs w:val="23"/>
                      <w:lang w:val="bg-BG" w:bidi="ar-SA"/>
                    </w:rPr>
                    <w:t>]</w:t>
                  </w:r>
                </w:p>
              </w:tc>
            </w:tr>
          </w:tbl>
          <w:p w14:paraId="3A62AE01" w14:textId="77777777" w:rsidR="00F748EB" w:rsidRPr="00E91C01" w:rsidRDefault="00F748EB" w:rsidP="00E04610">
            <w:pPr>
              <w:spacing w:after="120" w:line="240" w:lineRule="auto"/>
              <w:ind w:left="37"/>
              <w:jc w:val="both"/>
              <w:rPr>
                <w:rFonts w:ascii="Cambria" w:eastAsia="Times New Roman" w:hAnsi="Cambria" w:cs="Times New Roman"/>
                <w:bCs/>
                <w:sz w:val="23"/>
                <w:szCs w:val="23"/>
                <w:lang w:val="bg-BG" w:bidi="ar-SA"/>
              </w:rPr>
            </w:pPr>
          </w:p>
        </w:tc>
      </w:tr>
    </w:tbl>
    <w:p w14:paraId="5EA7929E" w14:textId="77777777" w:rsidR="00F748EB" w:rsidRPr="00E91C01" w:rsidRDefault="00F748EB" w:rsidP="00F748EB">
      <w:pPr>
        <w:spacing w:after="120" w:line="240" w:lineRule="auto"/>
        <w:ind w:left="567" w:hanging="567"/>
        <w:jc w:val="both"/>
        <w:rPr>
          <w:rFonts w:ascii="Cambria" w:eastAsia="Times New Roman" w:hAnsi="Cambria" w:cs="Times New Roman"/>
          <w:sz w:val="23"/>
          <w:szCs w:val="23"/>
          <w:lang w:val="bg-BG" w:bidi="ar-SA"/>
        </w:rPr>
      </w:pPr>
    </w:p>
    <w:p w14:paraId="5DB0900A" w14:textId="77777777" w:rsidR="00F748EB" w:rsidRPr="00E91C01" w:rsidRDefault="00F748EB" w:rsidP="00F748EB">
      <w:pPr>
        <w:spacing w:after="120" w:line="240" w:lineRule="auto"/>
        <w:ind w:left="567" w:hanging="567"/>
        <w:jc w:val="both"/>
        <w:rPr>
          <w:rFonts w:ascii="Cambria" w:eastAsia="Times New Roman" w:hAnsi="Cambria" w:cs="Times New Roman"/>
          <w:b/>
          <w:i/>
          <w:sz w:val="23"/>
          <w:szCs w:val="23"/>
          <w:lang w:val="bg-BG" w:bidi="ar-SA"/>
        </w:rPr>
      </w:pPr>
      <w:r w:rsidRPr="00E91C01">
        <w:rPr>
          <w:rFonts w:ascii="Cambria" w:eastAsia="Times New Roman" w:hAnsi="Cambria" w:cs="Times New Roman"/>
          <w:b/>
          <w:sz w:val="23"/>
          <w:szCs w:val="23"/>
          <w:lang w:val="bg-BG" w:bidi="ar-SA"/>
        </w:rPr>
        <w:t xml:space="preserve">Член 9. Приложения </w:t>
      </w:r>
    </w:p>
    <w:tbl>
      <w:tblPr>
        <w:tblW w:w="0" w:type="auto"/>
        <w:tblInd w:w="-34" w:type="dxa"/>
        <w:tblLayout w:type="fixed"/>
        <w:tblLook w:val="04A0" w:firstRow="1" w:lastRow="0" w:firstColumn="1" w:lastColumn="0" w:noHBand="0" w:noVBand="1"/>
      </w:tblPr>
      <w:tblGrid>
        <w:gridCol w:w="851"/>
        <w:gridCol w:w="8753"/>
      </w:tblGrid>
      <w:tr w:rsidR="00F748EB" w:rsidRPr="00E91C01" w14:paraId="77C44C44" w14:textId="77777777" w:rsidTr="00E04610">
        <w:trPr>
          <w:trHeight w:val="432"/>
        </w:trPr>
        <w:tc>
          <w:tcPr>
            <w:tcW w:w="851" w:type="dxa"/>
            <w:shd w:val="clear" w:color="auto" w:fill="auto"/>
          </w:tcPr>
          <w:p w14:paraId="5992A4E6"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9.1.</w:t>
            </w:r>
          </w:p>
        </w:tc>
        <w:tc>
          <w:tcPr>
            <w:tcW w:w="8753" w:type="dxa"/>
            <w:shd w:val="clear" w:color="auto" w:fill="auto"/>
          </w:tcPr>
          <w:p w14:paraId="69CD0084" w14:textId="77777777" w:rsidR="00F748EB" w:rsidRPr="00E91C01" w:rsidRDefault="00F748EB" w:rsidP="00E04610">
            <w:pPr>
              <w:spacing w:after="120" w:line="240" w:lineRule="auto"/>
              <w:ind w:left="37"/>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Следните документи представляват приложения към настоящия договор и са неразделна част от него:</w:t>
            </w:r>
          </w:p>
          <w:tbl>
            <w:tblPr>
              <w:tblW w:w="8643" w:type="dxa"/>
              <w:tblInd w:w="37" w:type="dxa"/>
              <w:tblLayout w:type="fixed"/>
              <w:tblLook w:val="04A0" w:firstRow="1" w:lastRow="0" w:firstColumn="1" w:lastColumn="0" w:noHBand="0" w:noVBand="1"/>
            </w:tblPr>
            <w:tblGrid>
              <w:gridCol w:w="1981"/>
              <w:gridCol w:w="6662"/>
            </w:tblGrid>
            <w:tr w:rsidR="00F748EB" w:rsidRPr="00E91C01" w14:paraId="728D080C" w14:textId="77777777" w:rsidTr="00E04610">
              <w:tc>
                <w:tcPr>
                  <w:tcW w:w="1981" w:type="dxa"/>
                  <w:shd w:val="clear" w:color="auto" w:fill="auto"/>
                </w:tcPr>
                <w:p w14:paraId="7899B68B"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w:t>
                  </w:r>
                </w:p>
              </w:tc>
              <w:tc>
                <w:tcPr>
                  <w:tcW w:w="6662" w:type="dxa"/>
                  <w:shd w:val="clear" w:color="auto" w:fill="auto"/>
                </w:tcPr>
                <w:p w14:paraId="3BFCF698"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Одобрената инвестиция (предложението на крайния получател за изпълнение на инвестицията - формуляр за кандидатстване, подаден в ИС за ПВУ и описанието на проектното предложение, ведно с приложените към тях документи), във вида, в който е окончателно одобрен от СНД след съответните корекции, ако такива са били извършвани;</w:t>
                  </w:r>
                </w:p>
              </w:tc>
            </w:tr>
            <w:tr w:rsidR="00F748EB" w:rsidRPr="00E91C01" w14:paraId="335A46F8" w14:textId="77777777" w:rsidTr="00E04610">
              <w:tc>
                <w:tcPr>
                  <w:tcW w:w="1981" w:type="dxa"/>
                  <w:shd w:val="clear" w:color="auto" w:fill="auto"/>
                </w:tcPr>
                <w:p w14:paraId="277AA49B"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II:</w:t>
                  </w:r>
                </w:p>
              </w:tc>
              <w:tc>
                <w:tcPr>
                  <w:tcW w:w="6662" w:type="dxa"/>
                  <w:shd w:val="clear" w:color="auto" w:fill="auto"/>
                </w:tcPr>
                <w:p w14:paraId="270985AF"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Общи условия към договорите за финансиране по Механизма за възстановяване и устойчивост  (в електронен вариант в ИС за ПВУ);</w:t>
                  </w:r>
                </w:p>
              </w:tc>
            </w:tr>
            <w:tr w:rsidR="00F748EB" w:rsidRPr="00E91C01" w14:paraId="4520FE6F" w14:textId="77777777" w:rsidTr="00E04610">
              <w:tc>
                <w:tcPr>
                  <w:tcW w:w="1981" w:type="dxa"/>
                  <w:shd w:val="clear" w:color="auto" w:fill="auto"/>
                </w:tcPr>
                <w:p w14:paraId="29615B0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III:</w:t>
                  </w:r>
                </w:p>
                <w:p w14:paraId="16ED1713"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p>
                <w:p w14:paraId="209AE1FC"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p>
                <w:p w14:paraId="70DC4F38"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Приложение IV:</w:t>
                  </w:r>
                </w:p>
              </w:tc>
              <w:tc>
                <w:tcPr>
                  <w:tcW w:w="6662" w:type="dxa"/>
                  <w:shd w:val="clear" w:color="auto" w:fill="auto"/>
                </w:tcPr>
                <w:p w14:paraId="4ED80CE8" w14:textId="27F2D078"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Условия за кандидатстване по процедура за предоставяне на средства на крайни получатели чрез подбор на предложения за финансиране на научноизследователски проекти в областта на </w:t>
                  </w:r>
                  <w:r w:rsidR="003C603C">
                    <w:rPr>
                      <w:rFonts w:ascii="Cambria" w:eastAsia="Times New Roman" w:hAnsi="Cambria" w:cs="Times New Roman"/>
                      <w:sz w:val="23"/>
                      <w:szCs w:val="23"/>
                      <w:lang w:val="bg-BG" w:bidi="ar-SA"/>
                    </w:rPr>
                    <w:t>зелените и цифровите технологии;</w:t>
                  </w:r>
                </w:p>
                <w:p w14:paraId="5173F9F8" w14:textId="29345254"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hAnsi="Cambria"/>
                      <w:sz w:val="23"/>
                      <w:szCs w:val="23"/>
                      <w:lang w:val="bg-BG"/>
                    </w:rPr>
                    <w:t>Споразумение за партньорство</w:t>
                  </w:r>
                  <w:r w:rsidR="003C603C">
                    <w:rPr>
                      <w:rFonts w:ascii="Cambria" w:hAnsi="Cambria"/>
                      <w:sz w:val="23"/>
                      <w:szCs w:val="23"/>
                      <w:lang w:val="bg-BG"/>
                    </w:rPr>
                    <w:t>.</w:t>
                  </w:r>
                </w:p>
                <w:p w14:paraId="69498931"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p>
              </w:tc>
            </w:tr>
          </w:tbl>
          <w:p w14:paraId="1DCDB5CD" w14:textId="77777777" w:rsidR="00F748EB" w:rsidRPr="00E91C01" w:rsidRDefault="00F748EB" w:rsidP="00E04610">
            <w:pPr>
              <w:spacing w:after="120" w:line="240" w:lineRule="auto"/>
              <w:ind w:left="2160" w:hanging="2160"/>
              <w:jc w:val="both"/>
              <w:rPr>
                <w:rFonts w:ascii="Cambria" w:eastAsia="Times New Roman" w:hAnsi="Cambria" w:cs="Times New Roman"/>
                <w:bCs/>
                <w:sz w:val="23"/>
                <w:szCs w:val="23"/>
                <w:lang w:val="bg-BG" w:bidi="ar-SA"/>
              </w:rPr>
            </w:pPr>
          </w:p>
        </w:tc>
      </w:tr>
      <w:tr w:rsidR="00F748EB" w:rsidRPr="00E91C01" w14:paraId="4303E91A" w14:textId="77777777" w:rsidTr="00E04610">
        <w:trPr>
          <w:trHeight w:val="68"/>
        </w:trPr>
        <w:tc>
          <w:tcPr>
            <w:tcW w:w="851" w:type="dxa"/>
            <w:shd w:val="clear" w:color="auto" w:fill="auto"/>
          </w:tcPr>
          <w:p w14:paraId="40AEC1E4"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9.2.</w:t>
            </w:r>
          </w:p>
        </w:tc>
        <w:tc>
          <w:tcPr>
            <w:tcW w:w="8753" w:type="dxa"/>
            <w:shd w:val="clear" w:color="auto" w:fill="auto"/>
          </w:tcPr>
          <w:p w14:paraId="0B5124F8"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sz w:val="23"/>
                <w:szCs w:val="23"/>
                <w:lang w:val="bg-BG" w:bidi="ar-SA"/>
              </w:rPr>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08126E54" w14:textId="77777777" w:rsidR="00F748EB" w:rsidRPr="00E91C01" w:rsidRDefault="00F748EB" w:rsidP="00F748EB">
      <w:pPr>
        <w:spacing w:after="120" w:line="240" w:lineRule="auto"/>
        <w:ind w:left="567" w:hanging="567"/>
        <w:jc w:val="both"/>
        <w:rPr>
          <w:rFonts w:ascii="Cambria" w:eastAsia="Times New Roman" w:hAnsi="Cambria" w:cs="Times New Roman"/>
          <w:sz w:val="23"/>
          <w:szCs w:val="23"/>
          <w:lang w:val="bg-BG" w:bidi="ar-SA"/>
        </w:rPr>
      </w:pPr>
    </w:p>
    <w:p w14:paraId="461F44DD" w14:textId="77777777" w:rsidR="00F748EB" w:rsidRPr="00E91C01" w:rsidRDefault="00F748EB" w:rsidP="00F748EB">
      <w:pPr>
        <w:spacing w:after="120" w:line="240" w:lineRule="auto"/>
        <w:jc w:val="both"/>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Член 10. Други условия по Договора</w:t>
      </w:r>
    </w:p>
    <w:tbl>
      <w:tblPr>
        <w:tblW w:w="0" w:type="auto"/>
        <w:tblInd w:w="-176" w:type="dxa"/>
        <w:tblLook w:val="04A0" w:firstRow="1" w:lastRow="0" w:firstColumn="1" w:lastColumn="0" w:noHBand="0" w:noVBand="1"/>
      </w:tblPr>
      <w:tblGrid>
        <w:gridCol w:w="710"/>
        <w:gridCol w:w="8930"/>
      </w:tblGrid>
      <w:tr w:rsidR="00F748EB" w:rsidRPr="00E91C01" w14:paraId="25009BD2" w14:textId="77777777" w:rsidTr="00E04610">
        <w:tc>
          <w:tcPr>
            <w:tcW w:w="710" w:type="dxa"/>
            <w:shd w:val="clear" w:color="auto" w:fill="auto"/>
          </w:tcPr>
          <w:p w14:paraId="38A19C8A" w14:textId="77777777" w:rsidR="00F748EB" w:rsidRPr="00E91C01" w:rsidRDefault="00F748EB" w:rsidP="00E04610">
            <w:pPr>
              <w:spacing w:after="120" w:line="240" w:lineRule="auto"/>
              <w:ind w:left="34"/>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w:t>
            </w:r>
          </w:p>
        </w:tc>
        <w:tc>
          <w:tcPr>
            <w:tcW w:w="8930" w:type="dxa"/>
            <w:shd w:val="clear" w:color="auto" w:fill="auto"/>
          </w:tcPr>
          <w:p w14:paraId="2AFF3433"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912"/>
              <w:gridCol w:w="7764"/>
            </w:tblGrid>
            <w:tr w:rsidR="00F748EB" w:rsidRPr="00E91C01" w14:paraId="5019722A" w14:textId="77777777" w:rsidTr="00E04610">
              <w:tc>
                <w:tcPr>
                  <w:tcW w:w="912" w:type="dxa"/>
                  <w:shd w:val="clear" w:color="auto" w:fill="auto"/>
                </w:tcPr>
                <w:p w14:paraId="1B8248BE" w14:textId="77777777" w:rsidR="00F748EB" w:rsidRPr="00E91C01" w:rsidRDefault="00F748EB" w:rsidP="00E04610">
                  <w:pPr>
                    <w:spacing w:after="120" w:line="240" w:lineRule="auto"/>
                    <w:ind w:left="92" w:hanging="134"/>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10.1.1</w:t>
                  </w:r>
                </w:p>
              </w:tc>
              <w:tc>
                <w:tcPr>
                  <w:tcW w:w="7764" w:type="dxa"/>
                  <w:shd w:val="clear" w:color="auto" w:fill="auto"/>
                </w:tcPr>
                <w:p w14:paraId="702D6E0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9.9 със следното съдържание:</w:t>
                  </w:r>
                </w:p>
                <w:p w14:paraId="19E3B813"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Чл. 9.9.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 в сроковете по предходната точка.</w:t>
                  </w:r>
                </w:p>
              </w:tc>
            </w:tr>
            <w:tr w:rsidR="00F748EB" w:rsidRPr="00E91C01" w14:paraId="54AFF4A7" w14:textId="77777777" w:rsidTr="00E04610">
              <w:tc>
                <w:tcPr>
                  <w:tcW w:w="912" w:type="dxa"/>
                  <w:shd w:val="clear" w:color="auto" w:fill="auto"/>
                </w:tcPr>
                <w:p w14:paraId="7B3D971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10.1.2</w:t>
                  </w:r>
                </w:p>
              </w:tc>
              <w:tc>
                <w:tcPr>
                  <w:tcW w:w="7764" w:type="dxa"/>
                  <w:shd w:val="clear" w:color="auto" w:fill="auto"/>
                </w:tcPr>
                <w:p w14:paraId="04DB15E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9.10 със следното съдържание:</w:t>
                  </w:r>
                </w:p>
                <w:p w14:paraId="63E49EE0"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 xml:space="preserve">Чл. 9.10. Крайният получател се задължава да предоставя чрез ИС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w:t>
                  </w:r>
                  <w:r w:rsidRPr="00E91C01">
                    <w:rPr>
                      <w:rFonts w:ascii="Cambria" w:eastAsia="Times New Roman" w:hAnsi="Cambria" w:cs="Times New Roman"/>
                      <w:bCs/>
                      <w:sz w:val="23"/>
                      <w:szCs w:val="23"/>
                      <w:lang w:val="bg-BG" w:bidi="ar-SA"/>
                    </w:rPr>
                    <w:lastRenderedPageBreak/>
                    <w:t>действия в срок до три работни дни от получаването им, респ. от извършването им. В този случай, крайният получател се задължава да предоставя на СНД цялата изискуема информация за последващи действия за изпълнение на направени от компетентните органи препоръки, както и да изпълнява указанията, дадени от СНД за изпълнение на тези препоръки.</w:t>
                  </w:r>
                </w:p>
              </w:tc>
            </w:tr>
            <w:tr w:rsidR="00F748EB" w:rsidRPr="00E91C01" w14:paraId="2A9EEAE1" w14:textId="77777777" w:rsidTr="00E04610">
              <w:tc>
                <w:tcPr>
                  <w:tcW w:w="912" w:type="dxa"/>
                  <w:shd w:val="clear" w:color="auto" w:fill="auto"/>
                </w:tcPr>
                <w:p w14:paraId="7D499F7A"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lastRenderedPageBreak/>
                    <w:t>10.1.3</w:t>
                  </w:r>
                </w:p>
              </w:tc>
              <w:tc>
                <w:tcPr>
                  <w:tcW w:w="7764" w:type="dxa"/>
                  <w:shd w:val="clear" w:color="auto" w:fill="auto"/>
                </w:tcPr>
                <w:p w14:paraId="0C781258"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9.11 със следното съдържание:</w:t>
                  </w:r>
                </w:p>
                <w:p w14:paraId="756479BB"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9.11. Задълженията по чл. 9.9. и 9.10 Крайният получател изпълнява и по отношение на партньорите, посочени в чл. 4.5 от Договора за финансиране, сключен с Крайния получател.</w:t>
                  </w:r>
                </w:p>
              </w:tc>
            </w:tr>
            <w:tr w:rsidR="00F748EB" w:rsidRPr="00E91C01" w14:paraId="5B77CD27" w14:textId="77777777" w:rsidTr="00E04610">
              <w:tc>
                <w:tcPr>
                  <w:tcW w:w="912" w:type="dxa"/>
                  <w:shd w:val="clear" w:color="auto" w:fill="auto"/>
                </w:tcPr>
                <w:p w14:paraId="2DA57B9A"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10.1.4</w:t>
                  </w:r>
                </w:p>
              </w:tc>
              <w:tc>
                <w:tcPr>
                  <w:tcW w:w="7764" w:type="dxa"/>
                  <w:shd w:val="clear" w:color="auto" w:fill="auto"/>
                </w:tcPr>
                <w:p w14:paraId="40838FD2"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Създава се нов член 13А със следното съдържание:</w:t>
                  </w:r>
                </w:p>
                <w:p w14:paraId="12315311"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Чл. 13А.1. Крайният получател се задължава да спазва изискването на т. 19 от Рамката за държавна помощ за научни изследвания, развитие и иновации, като съотношението между извършваните икономически и неикономически дейности и техните разходи, финансиране и приходи са ясно разделени по икономически неикономически дейности, така че ефективно да се избегне кръстосаното субсидиране за целия полезен срок на годност на придобитата инфраструктура, определен в амортизационния план на крайният получател.</w:t>
                  </w:r>
                </w:p>
                <w:p w14:paraId="094C7C9C"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Чл. 13А.2. Крайният получател се задължава да спазва изискването на т. 21 от Рамката за държавна помощ за научни изследвания, развитие и иновации, като икономическите дейности, извършвани от него потребяват точно същите ресурси (материали, оборудване, труд и постоянен капитал) като извършваните неикономически дейности</w:t>
                  </w:r>
                  <w:r w:rsidRPr="00E91C01">
                    <w:rPr>
                      <w:rFonts w:ascii="Cambria" w:eastAsia="Times New Roman" w:hAnsi="Cambria" w:cs="Times New Roman"/>
                      <w:sz w:val="23"/>
                      <w:szCs w:val="23"/>
                      <w:lang w:val="fr-FR" w:bidi="ar-SA"/>
                    </w:rPr>
                    <w:t xml:space="preserve"> </w:t>
                  </w:r>
                  <w:r w:rsidRPr="00E91C01">
                    <w:rPr>
                      <w:rFonts w:ascii="Cambria" w:eastAsia="Times New Roman" w:hAnsi="Cambria" w:cs="Times New Roman"/>
                      <w:sz w:val="23"/>
                      <w:szCs w:val="23"/>
                      <w:lang w:val="bg-BG" w:bidi="ar-SA"/>
                    </w:rPr>
                    <w:t xml:space="preserve">и </w:t>
                  </w:r>
                  <w:r w:rsidRPr="00E91C01">
                    <w:rPr>
                      <w:rFonts w:ascii="Cambria" w:eastAsia="Times New Roman" w:hAnsi="Cambria" w:cs="Times New Roman"/>
                      <w:bCs/>
                      <w:sz w:val="23"/>
                      <w:szCs w:val="23"/>
                      <w:lang w:val="bg-BG" w:bidi="ar-SA"/>
                    </w:rPr>
                    <w:t>капацитетът на икономическите дейности не превишава размера от 20 % от общия годишен капацитет за целия срок на изпълнение на инвестицията.</w:t>
                  </w:r>
                </w:p>
                <w:p w14:paraId="56552072" w14:textId="5E525CDB" w:rsidR="00F748EB" w:rsidRPr="00800E14"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 xml:space="preserve">Чл. 13А.3. Неикономически по своя характер са фундаменталните научни изследвания, отговарящи на т. 16, б. „н“ от Рамката. Индустриалните научни изследвания (т. 16, б. „с“), експерименталното развитие (т. 16, б. „к“) и проучването на осъществимостта (т. 16, б. „л“) могат да бъдат класифицирани като неикономически само ако са </w:t>
                  </w:r>
                  <w:r w:rsidRPr="00800E14">
                    <w:rPr>
                      <w:rFonts w:ascii="Cambria" w:eastAsia="Times New Roman" w:hAnsi="Cambria" w:cs="Times New Roman"/>
                      <w:bCs/>
                      <w:sz w:val="23"/>
                      <w:szCs w:val="23"/>
                      <w:lang w:val="bg-BG" w:bidi="ar-SA"/>
                    </w:rPr>
                    <w:t>изпълнени в ефективно сътрудничество по смисъла на т. 16, б. „з“ и се спазват условията на т. 28 и т. 29 от Рамката.</w:t>
                  </w:r>
                </w:p>
                <w:p w14:paraId="2CF8D038" w14:textId="776C0E65" w:rsidR="004B5B78" w:rsidRPr="00800E14" w:rsidRDefault="004B5B78" w:rsidP="004B5B78">
                  <w:pPr>
                    <w:spacing w:after="120" w:line="240" w:lineRule="auto"/>
                    <w:jc w:val="both"/>
                    <w:rPr>
                      <w:rFonts w:ascii="Cambria" w:eastAsia="Times New Roman" w:hAnsi="Cambria" w:cs="Times New Roman"/>
                      <w:bCs/>
                      <w:sz w:val="23"/>
                      <w:szCs w:val="23"/>
                      <w:lang w:val="bg-BG" w:bidi="ar-SA"/>
                    </w:rPr>
                  </w:pPr>
                  <w:r w:rsidRPr="00800E14">
                    <w:rPr>
                      <w:rFonts w:ascii="Cambria" w:eastAsia="Times New Roman" w:hAnsi="Cambria" w:cs="Times New Roman"/>
                      <w:bCs/>
                      <w:sz w:val="23"/>
                      <w:szCs w:val="23"/>
                      <w:lang w:val="bg-BG" w:bidi="ar-SA"/>
                    </w:rPr>
                    <w:t xml:space="preserve">Чл. 13А4. За спазване на изискванията на т. 28 и </w:t>
                  </w:r>
                  <w:r w:rsidR="00180844" w:rsidRPr="00800E14">
                    <w:rPr>
                      <w:rFonts w:ascii="Cambria" w:eastAsia="Times New Roman" w:hAnsi="Cambria" w:cs="Times New Roman"/>
                      <w:bCs/>
                      <w:sz w:val="23"/>
                      <w:szCs w:val="23"/>
                      <w:lang w:val="bg-BG" w:bidi="ar-SA"/>
                    </w:rPr>
                    <w:t xml:space="preserve">т. </w:t>
                  </w:r>
                  <w:r w:rsidRPr="00800E14">
                    <w:rPr>
                      <w:rFonts w:ascii="Cambria" w:eastAsia="Times New Roman" w:hAnsi="Cambria" w:cs="Times New Roman"/>
                      <w:bCs/>
                      <w:sz w:val="23"/>
                      <w:szCs w:val="23"/>
                      <w:lang w:val="bg-BG" w:bidi="ar-SA"/>
                    </w:rPr>
                    <w:t xml:space="preserve">29 от Рамката Крайният получател се задължава в случай на продажба на ПИС целия доход от тази продажба да е реинвестиран в основната дейност на научната организация. В случаите на ефективно сътрудничество, полученото възнаграждение трябва да съответства на пазарната цена на ПИС, предоставени на участващите предприятия или за които участващите предприятия са получили право на достъп, </w:t>
                  </w:r>
                  <w:r w:rsidR="00180844" w:rsidRPr="00800E14">
                    <w:rPr>
                      <w:rFonts w:ascii="Cambria" w:eastAsia="Times New Roman" w:hAnsi="Cambria" w:cs="Times New Roman"/>
                      <w:bCs/>
                      <w:sz w:val="23"/>
                      <w:szCs w:val="23"/>
                      <w:lang w:val="bg-BG" w:bidi="ar-SA"/>
                    </w:rPr>
                    <w:t>а</w:t>
                  </w:r>
                  <w:r w:rsidRPr="00800E14">
                    <w:rPr>
                      <w:rFonts w:ascii="Cambria" w:eastAsia="Times New Roman" w:hAnsi="Cambria" w:cs="Times New Roman"/>
                      <w:bCs/>
                      <w:sz w:val="23"/>
                      <w:szCs w:val="23"/>
                      <w:lang w:val="bg-BG" w:bidi="ar-SA"/>
                    </w:rPr>
                    <w:t xml:space="preserve"> абсолютната сума на стойността на всяка вноска, както финансова, така и нефинансова, на участващите предприятия към разходите на дейностите на съответната научноизследователска организация</w:t>
                  </w:r>
                  <w:r w:rsidR="00180844" w:rsidRPr="00800E14">
                    <w:rPr>
                      <w:rFonts w:ascii="Cambria" w:eastAsia="Times New Roman" w:hAnsi="Cambria" w:cs="Times New Roman"/>
                      <w:bCs/>
                      <w:sz w:val="23"/>
                      <w:szCs w:val="23"/>
                      <w:lang w:val="bg-BG" w:bidi="ar-SA"/>
                    </w:rPr>
                    <w:t xml:space="preserve"> или инфраструктурна единица</w:t>
                  </w:r>
                  <w:r w:rsidRPr="00800E14">
                    <w:rPr>
                      <w:rFonts w:ascii="Cambria" w:eastAsia="Times New Roman" w:hAnsi="Cambria" w:cs="Times New Roman"/>
                      <w:bCs/>
                      <w:sz w:val="23"/>
                      <w:szCs w:val="23"/>
                      <w:lang w:val="bg-BG" w:bidi="ar-SA"/>
                    </w:rPr>
                    <w:t xml:space="preserve">, </w:t>
                  </w:r>
                  <w:r w:rsidR="00180844" w:rsidRPr="00800E14">
                    <w:rPr>
                      <w:rFonts w:ascii="Cambria" w:eastAsia="Times New Roman" w:hAnsi="Cambria" w:cs="Times New Roman"/>
                      <w:bCs/>
                      <w:sz w:val="23"/>
                      <w:szCs w:val="23"/>
                      <w:lang w:val="bg-BG" w:bidi="ar-SA"/>
                    </w:rPr>
                    <w:t xml:space="preserve">следва </w:t>
                  </w:r>
                  <w:r w:rsidRPr="00800E14">
                    <w:rPr>
                      <w:rFonts w:ascii="Cambria" w:eastAsia="Times New Roman" w:hAnsi="Cambria" w:cs="Times New Roman"/>
                      <w:bCs/>
                      <w:sz w:val="23"/>
                      <w:szCs w:val="23"/>
                      <w:lang w:val="bg-BG" w:bidi="ar-SA"/>
                    </w:rPr>
                    <w:t xml:space="preserve">да се приспада от това възнаграждение. </w:t>
                  </w:r>
                  <w:r w:rsidR="00180844" w:rsidRPr="00800E14">
                    <w:rPr>
                      <w:rFonts w:ascii="Cambria" w:eastAsia="Times New Roman" w:hAnsi="Cambria" w:cs="Times New Roman"/>
                      <w:bCs/>
                      <w:sz w:val="23"/>
                      <w:szCs w:val="23"/>
                      <w:lang w:val="bg-BG" w:bidi="ar-SA"/>
                    </w:rPr>
                    <w:t>П</w:t>
                  </w:r>
                  <w:r w:rsidRPr="00800E14">
                    <w:rPr>
                      <w:rFonts w:ascii="Cambria" w:eastAsia="Times New Roman" w:hAnsi="Cambria" w:cs="Times New Roman"/>
                      <w:bCs/>
                      <w:sz w:val="23"/>
                      <w:szCs w:val="23"/>
                      <w:lang w:val="bg-BG" w:bidi="ar-SA"/>
                    </w:rPr>
                    <w:t xml:space="preserve">олученото възнаграждение </w:t>
                  </w:r>
                  <w:r w:rsidR="00180844" w:rsidRPr="00800E14">
                    <w:rPr>
                      <w:rFonts w:ascii="Cambria" w:eastAsia="Times New Roman" w:hAnsi="Cambria" w:cs="Times New Roman"/>
                      <w:bCs/>
                      <w:sz w:val="23"/>
                      <w:szCs w:val="23"/>
                      <w:lang w:val="bg-BG" w:bidi="ar-SA"/>
                    </w:rPr>
                    <w:t>в случаите по т. 29 б. „г“ от Рамката трябва да отговаря на някое от условията по т. 30, б. „а“-„г“.</w:t>
                  </w:r>
                </w:p>
                <w:p w14:paraId="1ACAA2F6" w14:textId="1C67291D" w:rsidR="00F748EB" w:rsidRPr="00800E14" w:rsidRDefault="00F748EB" w:rsidP="00E04610">
                  <w:pPr>
                    <w:spacing w:after="120" w:line="240" w:lineRule="auto"/>
                    <w:jc w:val="both"/>
                    <w:rPr>
                      <w:rFonts w:ascii="Cambria" w:eastAsia="Times New Roman" w:hAnsi="Cambria" w:cs="Times New Roman"/>
                      <w:bCs/>
                      <w:sz w:val="23"/>
                      <w:szCs w:val="23"/>
                      <w:lang w:val="bg-BG" w:bidi="ar-SA"/>
                    </w:rPr>
                  </w:pPr>
                  <w:r w:rsidRPr="00800E14">
                    <w:rPr>
                      <w:rFonts w:ascii="Cambria" w:eastAsia="Times New Roman" w:hAnsi="Cambria" w:cs="Times New Roman"/>
                      <w:bCs/>
                      <w:sz w:val="23"/>
                      <w:szCs w:val="23"/>
                      <w:lang w:val="bg-BG" w:bidi="ar-SA"/>
                    </w:rPr>
                    <w:t>Чл. 13А.</w:t>
                  </w:r>
                  <w:r w:rsidR="00180844" w:rsidRPr="00800E14">
                    <w:rPr>
                      <w:rFonts w:ascii="Cambria" w:eastAsia="Times New Roman" w:hAnsi="Cambria" w:cs="Times New Roman"/>
                      <w:bCs/>
                      <w:sz w:val="23"/>
                      <w:szCs w:val="23"/>
                      <w:lang w:val="bg-BG" w:bidi="ar-SA"/>
                    </w:rPr>
                    <w:t>5</w:t>
                  </w:r>
                  <w:r w:rsidRPr="00800E14">
                    <w:rPr>
                      <w:rFonts w:ascii="Cambria" w:eastAsia="Times New Roman" w:hAnsi="Cambria" w:cs="Times New Roman"/>
                      <w:bCs/>
                      <w:sz w:val="23"/>
                      <w:szCs w:val="23"/>
                      <w:lang w:val="bg-BG" w:bidi="ar-SA"/>
                    </w:rPr>
                    <w:t xml:space="preserve">. СНД ще извършва проверки дали всяка една изпълнена дейност през годината е определена като икономическа или неикономическа и дали разходите за нея са отнесени коректно  за целия срок на изпълнение на инвестицията, или за целия полезен срок </w:t>
                  </w:r>
                  <w:r w:rsidRPr="00800E14">
                    <w:rPr>
                      <w:rFonts w:ascii="Cambria" w:eastAsia="Times New Roman" w:hAnsi="Cambria" w:cs="Times New Roman"/>
                      <w:bCs/>
                      <w:sz w:val="23"/>
                      <w:szCs w:val="23"/>
                      <w:lang w:val="bg-BG" w:bidi="ar-SA"/>
                    </w:rPr>
                    <w:lastRenderedPageBreak/>
                    <w:t xml:space="preserve">на годност на придобитата инфраструктура, определен в амортизационния план на крайния получател, ако е приложимо. </w:t>
                  </w:r>
                </w:p>
                <w:p w14:paraId="6ADA8045" w14:textId="05A3EDC2"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800E14">
                    <w:rPr>
                      <w:rFonts w:ascii="Cambria" w:eastAsia="Times New Roman" w:hAnsi="Cambria" w:cs="Times New Roman"/>
                      <w:bCs/>
                      <w:sz w:val="23"/>
                      <w:szCs w:val="23"/>
                      <w:lang w:val="bg-BG" w:bidi="ar-SA"/>
                    </w:rPr>
                    <w:t>Чл. 13А.</w:t>
                  </w:r>
                  <w:r w:rsidR="00180844" w:rsidRPr="00800E14">
                    <w:rPr>
                      <w:rFonts w:ascii="Cambria" w:eastAsia="Times New Roman" w:hAnsi="Cambria" w:cs="Times New Roman"/>
                      <w:bCs/>
                      <w:sz w:val="23"/>
                      <w:szCs w:val="23"/>
                      <w:lang w:val="bg-BG" w:bidi="ar-SA"/>
                    </w:rPr>
                    <w:t>6</w:t>
                  </w:r>
                  <w:r w:rsidRPr="00800E14">
                    <w:rPr>
                      <w:rFonts w:ascii="Cambria" w:eastAsia="Times New Roman" w:hAnsi="Cambria" w:cs="Times New Roman"/>
                      <w:bCs/>
                      <w:sz w:val="23"/>
                      <w:szCs w:val="23"/>
                      <w:lang w:val="bg-BG" w:bidi="ar-SA"/>
                    </w:rPr>
                    <w:t>. В случаите, когато крайният получател е бенефициент по проект, в който участва с част</w:t>
                  </w:r>
                  <w:r w:rsidRPr="00E91C01">
                    <w:rPr>
                      <w:rFonts w:ascii="Cambria" w:eastAsia="Times New Roman" w:hAnsi="Cambria" w:cs="Times New Roman"/>
                      <w:bCs/>
                      <w:sz w:val="23"/>
                      <w:szCs w:val="23"/>
                      <w:lang w:val="bg-BG" w:bidi="ar-SA"/>
                    </w:rPr>
                    <w:t xml:space="preserve"> от капацитета си, и по който има изискване за спазване на т. 21 от Рамката за определени инфраструктурни единици (ИЕ), спазването на изискванията на т. 21 от Рамката трябва да се отнася както на ниво субект (института), така и на ниво ИЕ, включени в проекта.</w:t>
                  </w:r>
                </w:p>
              </w:tc>
            </w:tr>
            <w:tr w:rsidR="00F748EB" w:rsidRPr="00E91C01" w14:paraId="35608363" w14:textId="77777777" w:rsidTr="00E04610">
              <w:tc>
                <w:tcPr>
                  <w:tcW w:w="912" w:type="dxa"/>
                  <w:shd w:val="clear" w:color="auto" w:fill="auto"/>
                </w:tcPr>
                <w:p w14:paraId="1E063533" w14:textId="77777777" w:rsidR="00F748EB" w:rsidRPr="00E91C01" w:rsidRDefault="00F748EB" w:rsidP="00E04610">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6F33ABCF" w14:textId="7152FEF1" w:rsidR="00F748EB"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Чл. 13А.</w:t>
                  </w:r>
                  <w:r w:rsidR="00180844">
                    <w:rPr>
                      <w:rFonts w:ascii="Cambria" w:eastAsia="Times New Roman" w:hAnsi="Cambria" w:cs="Times New Roman"/>
                      <w:sz w:val="23"/>
                      <w:szCs w:val="23"/>
                      <w:lang w:val="bg-BG" w:bidi="ar-SA"/>
                    </w:rPr>
                    <w:t>7</w:t>
                  </w:r>
                  <w:r w:rsidRPr="00E91C01">
                    <w:rPr>
                      <w:rFonts w:ascii="Cambria" w:eastAsia="Times New Roman" w:hAnsi="Cambria" w:cs="Times New Roman"/>
                      <w:sz w:val="23"/>
                      <w:szCs w:val="23"/>
                      <w:lang w:val="bg-BG" w:bidi="ar-SA"/>
                    </w:rPr>
                    <w:t>.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При постановяване на решение на Европейската комисия за възстановяване на неправомерна, несъвместима или неправилно използвана държавна/минимална помощ Крайният получател се задължава да възстанови съответната сума, съгласно условията на решението.</w:t>
                  </w:r>
                </w:p>
                <w:p w14:paraId="2C530C93" w14:textId="06C842D5"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856F58">
                    <w:rPr>
                      <w:rFonts w:ascii="Cambria" w:eastAsia="Times New Roman" w:hAnsi="Cambria" w:cs="Times New Roman"/>
                      <w:sz w:val="23"/>
                      <w:szCs w:val="23"/>
                      <w:lang w:val="bg-BG" w:bidi="ar-SA"/>
                    </w:rPr>
                    <w:t>Чл. 13А.</w:t>
                  </w:r>
                  <w:r w:rsidR="00180844">
                    <w:rPr>
                      <w:rFonts w:ascii="Cambria" w:eastAsia="Times New Roman" w:hAnsi="Cambria" w:cs="Times New Roman"/>
                      <w:sz w:val="23"/>
                      <w:szCs w:val="23"/>
                      <w:lang w:val="bg-BG" w:bidi="ar-SA"/>
                    </w:rPr>
                    <w:t>8</w:t>
                  </w:r>
                  <w:r w:rsidRPr="00856F58">
                    <w:rPr>
                      <w:rFonts w:ascii="Cambria" w:eastAsia="Times New Roman" w:hAnsi="Cambria" w:cs="Times New Roman"/>
                      <w:sz w:val="23"/>
                      <w:szCs w:val="23"/>
                      <w:lang w:val="bg-BG" w:bidi="ar-SA"/>
                    </w:rPr>
                    <w:t>. В случаите, когато при извършване на проверка се установи, че е налице превишение на прага по т. 21 от Рамката, БАН уведомява министъра на финансите за режим на помощ, попадащ в обхвата и условията на глава I и чл. 26 от Регламент № 651/2014 на Комисията за обявяване на някои категории помощи за съвместими с вътрешния пазар в приложение на членове 107 и 108 от Договора, като предоставя схема по общия регламент за групово освобождаване за оценка по реда на чл. 27 от ЗДП. В случай на одобрение, подлежащи на възстановяване са 50% от инвестиционните разходи, използвани за стопанска дейност, отнесени към процента  предоставен капацитет за стопанска дейност за годината на превишаването. За следващите години до края на полезния живот на активите се възстановяват 50% от инвестиционните разходи за съответните години. По отношение на оперативните разходи се възстановява 100 % от тези, използвани за стопанската дейност.</w:t>
                  </w:r>
                </w:p>
                <w:p w14:paraId="09163E4B" w14:textId="60EB518A"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sz w:val="23"/>
                      <w:szCs w:val="23"/>
                      <w:lang w:val="bg-BG" w:bidi="ar-SA"/>
                    </w:rPr>
                    <w:t>Чл. 13А.</w:t>
                  </w:r>
                  <w:r w:rsidR="00180844">
                    <w:rPr>
                      <w:rFonts w:ascii="Cambria" w:eastAsia="Times New Roman" w:hAnsi="Cambria" w:cs="Times New Roman"/>
                      <w:sz w:val="23"/>
                      <w:szCs w:val="23"/>
                      <w:lang w:val="bg-BG" w:bidi="ar-SA"/>
                    </w:rPr>
                    <w:t>9</w:t>
                  </w:r>
                  <w:r w:rsidRPr="00E91C01">
                    <w:rPr>
                      <w:rFonts w:ascii="Cambria" w:eastAsia="Times New Roman" w:hAnsi="Cambria" w:cs="Times New Roman"/>
                      <w:sz w:val="23"/>
                      <w:szCs w:val="23"/>
                      <w:lang w:val="bg-BG" w:bidi="ar-SA"/>
                    </w:rPr>
                    <w:t>. Условията, изискванията и задълженията по чл. 13А.1-13А.</w:t>
                  </w:r>
                  <w:r w:rsidR="00180844">
                    <w:rPr>
                      <w:rFonts w:ascii="Cambria" w:eastAsia="Times New Roman" w:hAnsi="Cambria" w:cs="Times New Roman"/>
                      <w:sz w:val="23"/>
                      <w:szCs w:val="23"/>
                      <w:lang w:val="bg-BG" w:bidi="ar-SA"/>
                    </w:rPr>
                    <w:t>8</w:t>
                  </w:r>
                  <w:r w:rsidRPr="00E91C01">
                    <w:rPr>
                      <w:rFonts w:ascii="Cambria" w:eastAsia="Times New Roman" w:hAnsi="Cambria" w:cs="Times New Roman"/>
                      <w:sz w:val="23"/>
                      <w:szCs w:val="23"/>
                      <w:lang w:val="bg-BG" w:bidi="ar-SA"/>
                    </w:rPr>
                    <w:t xml:space="preserve"> се прилагат и по отношение на партньорите, посочени в </w:t>
                  </w:r>
                  <w:r w:rsidR="00AE1822" w:rsidRPr="00AE1822">
                    <w:rPr>
                      <w:rFonts w:ascii="Cambria" w:eastAsia="Times New Roman" w:hAnsi="Cambria" w:cs="Times New Roman"/>
                      <w:sz w:val="23"/>
                      <w:szCs w:val="23"/>
                      <w:lang w:val="bg-BG" w:bidi="ar-SA"/>
                    </w:rPr>
                    <w:t xml:space="preserve">чл. 4.5 </w:t>
                  </w:r>
                  <w:r w:rsidR="00AE1822">
                    <w:rPr>
                      <w:rFonts w:ascii="Cambria" w:eastAsia="Times New Roman" w:hAnsi="Cambria" w:cs="Times New Roman"/>
                      <w:sz w:val="23"/>
                      <w:szCs w:val="23"/>
                      <w:lang w:val="bg-BG" w:bidi="ar-SA"/>
                    </w:rPr>
                    <w:t xml:space="preserve">от </w:t>
                  </w:r>
                  <w:r w:rsidRPr="00E91C01">
                    <w:rPr>
                      <w:rFonts w:ascii="Cambria" w:eastAsia="Times New Roman" w:hAnsi="Cambria" w:cs="Times New Roman"/>
                      <w:sz w:val="23"/>
                      <w:szCs w:val="23"/>
                      <w:lang w:val="bg-BG" w:bidi="ar-SA"/>
                    </w:rPr>
                    <w:t>Договора за финансиране, сключен с Крайния получател.</w:t>
                  </w:r>
                </w:p>
              </w:tc>
            </w:tr>
            <w:tr w:rsidR="00F748EB" w:rsidRPr="00E91C01" w14:paraId="2FBD5497" w14:textId="77777777" w:rsidTr="00E04610">
              <w:tc>
                <w:tcPr>
                  <w:tcW w:w="912" w:type="dxa"/>
                  <w:shd w:val="clear" w:color="auto" w:fill="auto"/>
                </w:tcPr>
                <w:p w14:paraId="529D3306"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10.1.5</w:t>
                  </w:r>
                </w:p>
              </w:tc>
              <w:tc>
                <w:tcPr>
                  <w:tcW w:w="7764" w:type="dxa"/>
                  <w:shd w:val="clear" w:color="auto" w:fill="auto"/>
                </w:tcPr>
                <w:tbl>
                  <w:tblPr>
                    <w:tblW w:w="7548" w:type="dxa"/>
                    <w:tblLook w:val="04A0" w:firstRow="1" w:lastRow="0" w:firstColumn="1" w:lastColumn="0" w:noHBand="0" w:noVBand="1"/>
                  </w:tblPr>
                  <w:tblGrid>
                    <w:gridCol w:w="7548"/>
                  </w:tblGrid>
                  <w:tr w:rsidR="00F748EB" w:rsidRPr="00E91C01" w14:paraId="5ADFC25B" w14:textId="77777777" w:rsidTr="00E04610">
                    <w:tc>
                      <w:tcPr>
                        <w:tcW w:w="7548" w:type="dxa"/>
                        <w:shd w:val="clear" w:color="auto" w:fill="auto"/>
                      </w:tcPr>
                      <w:p w14:paraId="73BB40A6"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Чл. 17.4 от Приложение ІІ към договора се допълва, както следва:</w:t>
                        </w:r>
                      </w:p>
                      <w:p w14:paraId="71AC077A"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17.4.2 За изменението на договора не се подписва изричен двустранен писмен или електронен документ в следните случаи: </w:t>
                        </w:r>
                      </w:p>
                      <w:p w14:paraId="6FA7D82A"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адреса за кореспонденция и контакти;</w:t>
                        </w:r>
                      </w:p>
                      <w:p w14:paraId="151CC569"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0BCE1441"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7BEBC38C"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lastRenderedPageBreak/>
                          <w:t xml:space="preserve"> - при уеднаквяване на текстове в договора и/или приложенията към него;</w:t>
                        </w:r>
                      </w:p>
                      <w:p w14:paraId="1EB9CC12"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58D68BE7" w14:textId="74936689"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наим</w:t>
                        </w:r>
                        <w:r w:rsidR="00173258">
                          <w:rPr>
                            <w:rFonts w:ascii="Cambria" w:eastAsia="Times New Roman" w:hAnsi="Cambria" w:cs="Times New Roman"/>
                            <w:sz w:val="23"/>
                            <w:szCs w:val="23"/>
                            <w:lang w:val="bg-BG" w:bidi="ar-SA"/>
                          </w:rPr>
                          <w:t>енованието на крайния получател;</w:t>
                        </w:r>
                      </w:p>
                      <w:p w14:paraId="39C2140E"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65882F94"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 при  промяна на банкова сметка на крайния получател;</w:t>
                        </w:r>
                      </w:p>
                      <w:p w14:paraId="34964072" w14:textId="440B5CE1"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при промяна на законния/ите предс</w:t>
                        </w:r>
                        <w:r w:rsidR="00173258">
                          <w:rPr>
                            <w:rFonts w:ascii="Cambria" w:eastAsia="Times New Roman" w:hAnsi="Cambria" w:cs="Times New Roman"/>
                            <w:sz w:val="23"/>
                            <w:szCs w:val="23"/>
                            <w:lang w:val="bg-BG" w:bidi="ar-SA"/>
                          </w:rPr>
                          <w:t>тавляващ/и на крайния получател.</w:t>
                        </w:r>
                      </w:p>
                      <w:p w14:paraId="03331CAD"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 xml:space="preserve"> В посочените случаи, крайният получател следва да уведоми незабавно СНД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bl>
                <w:p w14:paraId="55300F07"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p>
              </w:tc>
            </w:tr>
          </w:tbl>
          <w:p w14:paraId="0D62DE8E"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p>
        </w:tc>
      </w:tr>
      <w:tr w:rsidR="00F748EB" w:rsidRPr="00E91C01" w14:paraId="007EB9A5" w14:textId="77777777" w:rsidTr="00E04610">
        <w:tc>
          <w:tcPr>
            <w:tcW w:w="710" w:type="dxa"/>
            <w:shd w:val="clear" w:color="auto" w:fill="auto"/>
          </w:tcPr>
          <w:p w14:paraId="23667D8A" w14:textId="77777777" w:rsidR="00F748EB" w:rsidRPr="00E91C01" w:rsidRDefault="00F748EB" w:rsidP="00E04610">
            <w:pPr>
              <w:spacing w:after="120" w:line="240" w:lineRule="auto"/>
              <w:ind w:left="360"/>
              <w:rPr>
                <w:rFonts w:ascii="Cambria" w:eastAsia="Times New Roman" w:hAnsi="Cambria" w:cs="Times New Roman"/>
                <w:bCs/>
                <w:sz w:val="23"/>
                <w:szCs w:val="23"/>
                <w:lang w:val="bg-BG" w:bidi="ar-SA"/>
              </w:rPr>
            </w:pPr>
          </w:p>
        </w:tc>
        <w:tc>
          <w:tcPr>
            <w:tcW w:w="8930" w:type="dxa"/>
            <w:shd w:val="clear" w:color="auto" w:fill="auto"/>
          </w:tcPr>
          <w:tbl>
            <w:tblPr>
              <w:tblW w:w="0" w:type="auto"/>
              <w:tblLook w:val="04A0" w:firstRow="1" w:lastRow="0" w:firstColumn="1" w:lastColumn="0" w:noHBand="0" w:noVBand="1"/>
            </w:tblPr>
            <w:tblGrid>
              <w:gridCol w:w="901"/>
              <w:gridCol w:w="7716"/>
            </w:tblGrid>
            <w:tr w:rsidR="00F748EB" w:rsidRPr="00E91C01" w14:paraId="11633800" w14:textId="77777777" w:rsidTr="00E04610">
              <w:tc>
                <w:tcPr>
                  <w:tcW w:w="901" w:type="dxa"/>
                  <w:shd w:val="clear" w:color="auto" w:fill="auto"/>
                </w:tcPr>
                <w:p w14:paraId="2DEADE17" w14:textId="77777777" w:rsidR="00F748EB" w:rsidRPr="00E91C01" w:rsidRDefault="00F748EB" w:rsidP="00E04610">
                  <w:pPr>
                    <w:spacing w:after="120" w:line="240" w:lineRule="auto"/>
                    <w:rPr>
                      <w:rFonts w:ascii="Cambria" w:eastAsia="Times New Roman" w:hAnsi="Cambria" w:cs="Times New Roman"/>
                      <w:bCs/>
                      <w:sz w:val="23"/>
                      <w:szCs w:val="23"/>
                      <w:lang w:val="bg-BG" w:bidi="ar-SA"/>
                    </w:rPr>
                  </w:pPr>
                  <w:r w:rsidRPr="00E91C01">
                    <w:rPr>
                      <w:rFonts w:ascii="Cambria" w:eastAsia="Times New Roman" w:hAnsi="Cambria" w:cs="Times New Roman"/>
                      <w:bCs/>
                      <w:sz w:val="23"/>
                      <w:szCs w:val="23"/>
                      <w:lang w:val="bg-BG" w:bidi="ar-SA"/>
                    </w:rPr>
                    <w:t>10.1.6</w:t>
                  </w:r>
                </w:p>
              </w:tc>
              <w:tc>
                <w:tcPr>
                  <w:tcW w:w="7716" w:type="dxa"/>
                  <w:shd w:val="clear" w:color="auto" w:fill="auto"/>
                </w:tcPr>
                <w:p w14:paraId="2656F2B9" w14:textId="77777777" w:rsidR="00F748EB" w:rsidRPr="00E91C01" w:rsidRDefault="00F748EB" w:rsidP="00E04610">
                  <w:pPr>
                    <w:ind w:left="72"/>
                    <w:jc w:val="both"/>
                    <w:rPr>
                      <w:rFonts w:ascii="Cambria" w:hAnsi="Cambria" w:cs="Times New Roman"/>
                      <w:sz w:val="23"/>
                      <w:szCs w:val="23"/>
                      <w:lang w:val="bg-BG"/>
                    </w:rPr>
                  </w:pPr>
                  <w:r w:rsidRPr="00E91C01">
                    <w:rPr>
                      <w:rFonts w:ascii="Cambria" w:hAnsi="Cambria" w:cs="Times New Roman"/>
                      <w:sz w:val="23"/>
                      <w:szCs w:val="23"/>
                      <w:lang w:val="bg-BG"/>
                    </w:rPr>
                    <w:t xml:space="preserve">Чл. 20.2 от Приложение II към договора се допълва, както следва : </w:t>
                  </w:r>
                </w:p>
                <w:p w14:paraId="70AA58EE" w14:textId="77777777" w:rsidR="00F748EB" w:rsidRPr="00E91C01" w:rsidRDefault="00F748EB" w:rsidP="00E04610">
                  <w:pPr>
                    <w:ind w:left="72"/>
                    <w:jc w:val="both"/>
                    <w:rPr>
                      <w:rFonts w:ascii="Cambria" w:hAnsi="Cambria" w:cs="Times New Roman"/>
                      <w:sz w:val="23"/>
                      <w:szCs w:val="23"/>
                      <w:lang w:val="bg-BG"/>
                    </w:rPr>
                  </w:pPr>
                  <w:r w:rsidRPr="00E91C01">
                    <w:rPr>
                      <w:rFonts w:ascii="Cambria" w:hAnsi="Cambria" w:cs="Times New Roman"/>
                      <w:sz w:val="23"/>
                      <w:szCs w:val="23"/>
                      <w:lang w:val="bg-BG"/>
                    </w:rPr>
                    <w:t xml:space="preserve">В случай, че крайният получател не изпълни и/или не отчете пред СНД по реда на чл. 11 от Приложение ІІ изпълнението на индикатора/ите по чл. 4.3.1 от Договора за финансиране, в срока, предвиден за това, и изпълнението на договора не се намира в някоя от хипотезите, посочени в членове 19.2, 19.3 или 19.5, СНД може да прекрати едностранно договора с последиците по чл. 20.3, след като вземе становището на крайния получател и, по негово искане, му предостави </w:t>
                  </w:r>
                  <w:bookmarkStart w:id="2" w:name="_Hlk125563942"/>
                  <w:r w:rsidRPr="00E91C01">
                    <w:rPr>
                      <w:rFonts w:ascii="Cambria" w:hAnsi="Cambria" w:cs="Times New Roman"/>
                      <w:sz w:val="23"/>
                      <w:szCs w:val="23"/>
                      <w:lang w:val="bg-BG"/>
                    </w:rPr>
                    <w:t>едномесечен</w:t>
                  </w:r>
                  <w:bookmarkEnd w:id="2"/>
                  <w:r w:rsidRPr="00E91C01">
                    <w:rPr>
                      <w:rFonts w:ascii="Cambria" w:hAnsi="Cambria" w:cs="Times New Roman"/>
                      <w:sz w:val="23"/>
                      <w:szCs w:val="23"/>
                      <w:lang w:val="bg-BG"/>
                    </w:rPr>
                    <w:t xml:space="preserve"> срок за изпълнението и/или отчитането на индикатора/ите.</w:t>
                  </w:r>
                </w:p>
                <w:p w14:paraId="5222855E" w14:textId="77777777" w:rsidR="00F748EB" w:rsidRPr="00E91C01" w:rsidRDefault="00F748EB" w:rsidP="00E04610">
                  <w:pPr>
                    <w:spacing w:after="120" w:line="240" w:lineRule="auto"/>
                    <w:jc w:val="both"/>
                    <w:rPr>
                      <w:rFonts w:ascii="Cambria" w:eastAsia="Times New Roman" w:hAnsi="Cambria" w:cs="Times New Roman"/>
                      <w:bCs/>
                      <w:sz w:val="23"/>
                      <w:szCs w:val="23"/>
                      <w:lang w:val="bg-BG" w:bidi="ar-SA"/>
                    </w:rPr>
                  </w:pPr>
                </w:p>
              </w:tc>
            </w:tr>
          </w:tbl>
          <w:p w14:paraId="26680B1A" w14:textId="77777777" w:rsidR="00F748EB" w:rsidRPr="00E91C01" w:rsidRDefault="00F748EB" w:rsidP="00E04610">
            <w:pPr>
              <w:spacing w:after="120" w:line="240" w:lineRule="auto"/>
              <w:jc w:val="both"/>
              <w:rPr>
                <w:rFonts w:ascii="Cambria" w:eastAsia="Times New Roman" w:hAnsi="Cambria" w:cs="Times New Roman"/>
                <w:sz w:val="23"/>
                <w:szCs w:val="23"/>
                <w:lang w:val="bg-BG" w:bidi="ar-SA"/>
              </w:rPr>
            </w:pPr>
          </w:p>
        </w:tc>
      </w:tr>
    </w:tbl>
    <w:p w14:paraId="18A49036" w14:textId="77777777" w:rsidR="00F748EB" w:rsidRPr="00E91C01" w:rsidRDefault="00F748EB" w:rsidP="00F748EB">
      <w:pPr>
        <w:spacing w:after="120" w:line="240" w:lineRule="auto"/>
        <w:jc w:val="both"/>
        <w:rPr>
          <w:rFonts w:ascii="Cambria" w:eastAsia="Times New Roman" w:hAnsi="Cambria" w:cs="Times New Roman"/>
          <w:i/>
          <w:sz w:val="23"/>
          <w:szCs w:val="23"/>
          <w:lang w:val="bg-BG" w:bidi="ar-SA"/>
        </w:rPr>
      </w:pPr>
      <w:r w:rsidRPr="00E91C01" w:rsidDel="00F30396">
        <w:rPr>
          <w:rFonts w:ascii="Cambria" w:eastAsia="Times New Roman" w:hAnsi="Cambria" w:cs="Times New Roman"/>
          <w:i/>
          <w:sz w:val="23"/>
          <w:szCs w:val="23"/>
          <w:lang w:val="bg-BG" w:bidi="ar-SA"/>
        </w:rPr>
        <w:lastRenderedPageBreak/>
        <w:t xml:space="preserve"> </w:t>
      </w:r>
      <w:r w:rsidRPr="00E91C01">
        <w:rPr>
          <w:rFonts w:ascii="Cambria" w:eastAsia="Times New Roman" w:hAnsi="Cambria" w:cs="Times New Roman"/>
          <w:i/>
          <w:sz w:val="23"/>
          <w:szCs w:val="23"/>
          <w:lang w:val="bg-BG" w:bidi="ar-SA"/>
        </w:rPr>
        <w:t xml:space="preserve">Настоящият договор е съставен като електронен документ и подписан с електронни подписи </w:t>
      </w:r>
      <w:bookmarkStart w:id="3" w:name="_Hlk109500137"/>
      <w:r w:rsidRPr="00E91C01">
        <w:rPr>
          <w:rFonts w:ascii="Cambria" w:eastAsia="Times New Roman" w:hAnsi="Cambria" w:cs="Times New Roman"/>
          <w:i/>
          <w:sz w:val="23"/>
          <w:szCs w:val="23"/>
          <w:lang w:val="bg-BG" w:bidi="ar-SA"/>
        </w:rPr>
        <w:t>в съответствие със Закона за електронния документ и електронните удостоверителни услуги</w:t>
      </w:r>
      <w:bookmarkEnd w:id="3"/>
      <w:r w:rsidRPr="00E91C01">
        <w:rPr>
          <w:rFonts w:ascii="Cambria" w:eastAsia="Times New Roman" w:hAnsi="Cambria" w:cs="Times New Roman"/>
          <w:i/>
          <w:sz w:val="23"/>
          <w:szCs w:val="23"/>
          <w:lang w:val="bg-BG" w:bidi="ar-SA"/>
        </w:rPr>
        <w:t>.</w:t>
      </w:r>
    </w:p>
    <w:p w14:paraId="7C3D33F8" w14:textId="77777777" w:rsidR="00F748EB" w:rsidRPr="00E91C01" w:rsidRDefault="00F748EB" w:rsidP="00F748EB">
      <w:pPr>
        <w:spacing w:after="120" w:line="240" w:lineRule="auto"/>
        <w:jc w:val="both"/>
        <w:rPr>
          <w:rFonts w:ascii="Cambria" w:eastAsia="Times New Roman" w:hAnsi="Cambria" w:cs="Times New Roman"/>
          <w:i/>
          <w:sz w:val="23"/>
          <w:szCs w:val="23"/>
          <w:lang w:val="bg-BG" w:bidi="ar-SA"/>
        </w:rPr>
      </w:pPr>
    </w:p>
    <w:p w14:paraId="52FF99F4" w14:textId="77777777" w:rsidR="00F748EB" w:rsidRPr="00E91C01" w:rsidRDefault="00F748EB" w:rsidP="00F748EB">
      <w:pPr>
        <w:spacing w:after="120" w:line="240" w:lineRule="auto"/>
        <w:jc w:val="both"/>
        <w:rPr>
          <w:rFonts w:ascii="Cambria" w:eastAsia="Times New Roman" w:hAnsi="Cambria" w:cs="Times New Roman"/>
          <w:i/>
          <w:sz w:val="23"/>
          <w:szCs w:val="23"/>
          <w:lang w:val="bg-BG" w:bidi="ar-SA"/>
        </w:rPr>
      </w:pPr>
    </w:p>
    <w:tbl>
      <w:tblPr>
        <w:tblW w:w="0" w:type="auto"/>
        <w:tblLayout w:type="fixed"/>
        <w:tblLook w:val="0000" w:firstRow="0" w:lastRow="0" w:firstColumn="0" w:lastColumn="0" w:noHBand="0" w:noVBand="0"/>
      </w:tblPr>
      <w:tblGrid>
        <w:gridCol w:w="1384"/>
        <w:gridCol w:w="3259"/>
        <w:gridCol w:w="2321"/>
        <w:gridCol w:w="2500"/>
      </w:tblGrid>
      <w:tr w:rsidR="00F748EB" w:rsidRPr="00E91C01" w14:paraId="5D1AAFDE" w14:textId="77777777" w:rsidTr="00E04610">
        <w:tc>
          <w:tcPr>
            <w:tcW w:w="4643" w:type="dxa"/>
            <w:gridSpan w:val="2"/>
          </w:tcPr>
          <w:p w14:paraId="32C21A9B" w14:textId="77777777" w:rsidR="00F748EB" w:rsidRPr="00E91C01" w:rsidRDefault="00F748EB" w:rsidP="00E04610">
            <w:pPr>
              <w:spacing w:after="120" w:line="240" w:lineRule="auto"/>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 xml:space="preserve">Краен получател </w:t>
            </w:r>
          </w:p>
        </w:tc>
        <w:tc>
          <w:tcPr>
            <w:tcW w:w="4821" w:type="dxa"/>
            <w:gridSpan w:val="2"/>
          </w:tcPr>
          <w:p w14:paraId="5B83748A" w14:textId="77777777" w:rsidR="00F748EB" w:rsidRPr="00E91C01" w:rsidRDefault="00F748EB" w:rsidP="00E04610">
            <w:pPr>
              <w:spacing w:after="120" w:line="240" w:lineRule="auto"/>
              <w:rPr>
                <w:rFonts w:ascii="Cambria" w:eastAsia="Times New Roman" w:hAnsi="Cambria" w:cs="Times New Roman"/>
                <w:b/>
                <w:sz w:val="23"/>
                <w:szCs w:val="23"/>
                <w:lang w:val="bg-BG" w:bidi="ar-SA"/>
              </w:rPr>
            </w:pPr>
            <w:r w:rsidRPr="00E91C01">
              <w:rPr>
                <w:rFonts w:ascii="Cambria" w:eastAsia="Times New Roman" w:hAnsi="Cambria" w:cs="Times New Roman"/>
                <w:b/>
                <w:sz w:val="23"/>
                <w:szCs w:val="23"/>
                <w:lang w:val="bg-BG" w:bidi="ar-SA"/>
              </w:rPr>
              <w:t>Ръководител на Структурата за наблюдение и докладване</w:t>
            </w:r>
          </w:p>
        </w:tc>
      </w:tr>
      <w:tr w:rsidR="00F748EB" w:rsidRPr="00E91C01" w14:paraId="765B9DA8" w14:textId="77777777" w:rsidTr="00E04610">
        <w:trPr>
          <w:cantSplit/>
        </w:trPr>
        <w:tc>
          <w:tcPr>
            <w:tcW w:w="1384" w:type="dxa"/>
          </w:tcPr>
          <w:p w14:paraId="63D9BA67"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Име</w:t>
            </w:r>
          </w:p>
        </w:tc>
        <w:tc>
          <w:tcPr>
            <w:tcW w:w="3259" w:type="dxa"/>
          </w:tcPr>
          <w:p w14:paraId="32D0EAB1"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13C86A03"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Име</w:t>
            </w:r>
          </w:p>
        </w:tc>
        <w:tc>
          <w:tcPr>
            <w:tcW w:w="2500" w:type="dxa"/>
          </w:tcPr>
          <w:p w14:paraId="0A97A32D"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r w:rsidR="00F748EB" w:rsidRPr="00E91C01" w14:paraId="7263937C" w14:textId="77777777" w:rsidTr="00E04610">
        <w:trPr>
          <w:cantSplit/>
        </w:trPr>
        <w:tc>
          <w:tcPr>
            <w:tcW w:w="1384" w:type="dxa"/>
          </w:tcPr>
          <w:p w14:paraId="33BC2B98"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Длъжност</w:t>
            </w:r>
          </w:p>
        </w:tc>
        <w:tc>
          <w:tcPr>
            <w:tcW w:w="3259" w:type="dxa"/>
          </w:tcPr>
          <w:p w14:paraId="54E13FE8"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605D9161"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Длъжност</w:t>
            </w:r>
          </w:p>
        </w:tc>
        <w:tc>
          <w:tcPr>
            <w:tcW w:w="2500" w:type="dxa"/>
          </w:tcPr>
          <w:p w14:paraId="009F17E0"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r w:rsidR="00F748EB" w:rsidRPr="00E91C01" w14:paraId="30B8E395" w14:textId="77777777" w:rsidTr="00E04610">
        <w:trPr>
          <w:cantSplit/>
        </w:trPr>
        <w:tc>
          <w:tcPr>
            <w:tcW w:w="1384" w:type="dxa"/>
          </w:tcPr>
          <w:p w14:paraId="711DF534"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Подпис</w:t>
            </w:r>
          </w:p>
        </w:tc>
        <w:tc>
          <w:tcPr>
            <w:tcW w:w="3259" w:type="dxa"/>
          </w:tcPr>
          <w:p w14:paraId="2554CCB2"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413D856E"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Подпис</w:t>
            </w:r>
          </w:p>
        </w:tc>
        <w:tc>
          <w:tcPr>
            <w:tcW w:w="2500" w:type="dxa"/>
          </w:tcPr>
          <w:p w14:paraId="7034B2B6"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r w:rsidR="00F748EB" w:rsidRPr="00E91C01" w14:paraId="65831257" w14:textId="77777777" w:rsidTr="00E04610">
        <w:trPr>
          <w:cantSplit/>
        </w:trPr>
        <w:tc>
          <w:tcPr>
            <w:tcW w:w="1384" w:type="dxa"/>
          </w:tcPr>
          <w:p w14:paraId="3FFFA186"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Дата</w:t>
            </w:r>
          </w:p>
        </w:tc>
        <w:tc>
          <w:tcPr>
            <w:tcW w:w="3259" w:type="dxa"/>
          </w:tcPr>
          <w:p w14:paraId="4CE455B7"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c>
          <w:tcPr>
            <w:tcW w:w="2321" w:type="dxa"/>
          </w:tcPr>
          <w:p w14:paraId="6EB9249F"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r w:rsidRPr="00E91C01">
              <w:rPr>
                <w:rFonts w:ascii="Cambria" w:eastAsia="Times New Roman" w:hAnsi="Cambria" w:cs="Times New Roman"/>
                <w:sz w:val="23"/>
                <w:szCs w:val="23"/>
                <w:lang w:val="bg-BG" w:bidi="ar-SA"/>
              </w:rPr>
              <w:t>Дата</w:t>
            </w:r>
          </w:p>
        </w:tc>
        <w:tc>
          <w:tcPr>
            <w:tcW w:w="2500" w:type="dxa"/>
          </w:tcPr>
          <w:p w14:paraId="4FBECB1E" w14:textId="77777777" w:rsidR="00F748EB" w:rsidRPr="00E91C01" w:rsidRDefault="00F748EB" w:rsidP="00E04610">
            <w:pPr>
              <w:spacing w:after="120" w:line="240" w:lineRule="auto"/>
              <w:rPr>
                <w:rFonts w:ascii="Cambria" w:eastAsia="Times New Roman" w:hAnsi="Cambria" w:cs="Times New Roman"/>
                <w:sz w:val="23"/>
                <w:szCs w:val="23"/>
                <w:lang w:val="bg-BG" w:bidi="ar-SA"/>
              </w:rPr>
            </w:pPr>
          </w:p>
        </w:tc>
      </w:tr>
    </w:tbl>
    <w:p w14:paraId="706388A4" w14:textId="77777777" w:rsidR="00F748EB" w:rsidRPr="00E91C01" w:rsidRDefault="00F748EB" w:rsidP="00F748EB">
      <w:pPr>
        <w:rPr>
          <w:rFonts w:ascii="Cambria" w:hAnsi="Cambria"/>
          <w:sz w:val="23"/>
          <w:szCs w:val="23"/>
        </w:rPr>
      </w:pPr>
    </w:p>
    <w:p w14:paraId="357DF124" w14:textId="77777777" w:rsidR="00F748EB" w:rsidRPr="00E91C01" w:rsidRDefault="00F748EB" w:rsidP="00F748EB">
      <w:pPr>
        <w:rPr>
          <w:rFonts w:ascii="Cambria" w:hAnsi="Cambria"/>
          <w:sz w:val="23"/>
          <w:szCs w:val="23"/>
        </w:rPr>
      </w:pPr>
    </w:p>
    <w:p w14:paraId="11264A53" w14:textId="77777777" w:rsidR="004C6EE1" w:rsidRDefault="004C6EE1"/>
    <w:sectPr w:rsidR="004C6EE1" w:rsidSect="00152B9D">
      <w:headerReference w:type="default" r:id="rId8"/>
      <w:footerReference w:type="default" r:id="rId9"/>
      <w:headerReference w:type="first" r:id="rId10"/>
      <w:pgSz w:w="11906" w:h="16838" w:code="9"/>
      <w:pgMar w:top="144" w:right="1138" w:bottom="562" w:left="1411" w:header="706" w:footer="70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D1D00" w14:textId="77777777" w:rsidR="002B628E" w:rsidRDefault="002B628E">
      <w:pPr>
        <w:spacing w:after="0" w:line="240" w:lineRule="auto"/>
      </w:pPr>
      <w:r>
        <w:separator/>
      </w:r>
    </w:p>
  </w:endnote>
  <w:endnote w:type="continuationSeparator" w:id="0">
    <w:p w14:paraId="32960007" w14:textId="77777777" w:rsidR="002B628E" w:rsidRDefault="002B6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1539B" w14:textId="77777777" w:rsidR="00D135A3" w:rsidRPr="00A62371" w:rsidRDefault="00AE1822" w:rsidP="008A6199">
    <w:pPr>
      <w:pStyle w:val="Footer"/>
      <w:tabs>
        <w:tab w:val="clear" w:pos="9360"/>
        <w:tab w:val="right" w:pos="9356"/>
      </w:tabs>
      <w:rPr>
        <w:rFonts w:ascii="Calibri Light" w:hAnsi="Calibri Light" w:cs="Calibri Light"/>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PAGE </w:instrText>
    </w:r>
    <w:r w:rsidRPr="00A62371">
      <w:rPr>
        <w:rStyle w:val="PageNumber"/>
        <w:rFonts w:ascii="Calibri Light" w:hAnsi="Calibri Light" w:cs="Calibri Light"/>
      </w:rPr>
      <w:fldChar w:fldCharType="separate"/>
    </w:r>
    <w:r w:rsidR="00E43152">
      <w:rPr>
        <w:rStyle w:val="PageNumber"/>
        <w:rFonts w:ascii="Calibri Light" w:hAnsi="Calibri Light" w:cs="Calibri Light"/>
        <w:noProof/>
      </w:rPr>
      <w:t>2</w:t>
    </w:r>
    <w:r w:rsidRPr="00A62371">
      <w:rPr>
        <w:rStyle w:val="PageNumber"/>
        <w:rFonts w:ascii="Calibri Light" w:hAnsi="Calibri Light" w:cs="Calibri Light"/>
      </w:rPr>
      <w:fldChar w:fldCharType="end"/>
    </w:r>
    <w:r w:rsidRPr="00A62371">
      <w:rPr>
        <w:rStyle w:val="PageNumber"/>
        <w:rFonts w:ascii="Calibri Light" w:hAnsi="Calibri Light" w:cs="Calibri Light"/>
      </w:rPr>
      <w:t>/</w:t>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NUMPAGES </w:instrText>
    </w:r>
    <w:r w:rsidRPr="00A62371">
      <w:rPr>
        <w:rStyle w:val="PageNumber"/>
        <w:rFonts w:ascii="Calibri Light" w:hAnsi="Calibri Light" w:cs="Calibri Light"/>
      </w:rPr>
      <w:fldChar w:fldCharType="separate"/>
    </w:r>
    <w:r w:rsidR="00E43152">
      <w:rPr>
        <w:rStyle w:val="PageNumber"/>
        <w:rFonts w:ascii="Calibri Light" w:hAnsi="Calibri Light" w:cs="Calibri Light"/>
        <w:noProof/>
      </w:rPr>
      <w:t>12</w:t>
    </w:r>
    <w:r w:rsidRPr="00A62371">
      <w:rPr>
        <w:rStyle w:val="PageNumber"/>
        <w:rFonts w:ascii="Calibri Light" w:hAnsi="Calibri Light" w:cs="Calibri Ligh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93CAD" w14:textId="77777777" w:rsidR="002B628E" w:rsidRDefault="002B628E">
      <w:pPr>
        <w:spacing w:after="0" w:line="240" w:lineRule="auto"/>
      </w:pPr>
      <w:r>
        <w:separator/>
      </w:r>
    </w:p>
  </w:footnote>
  <w:footnote w:type="continuationSeparator" w:id="0">
    <w:p w14:paraId="0BE74C1C" w14:textId="77777777" w:rsidR="002B628E" w:rsidRDefault="002B62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8CBC5" w14:textId="77777777" w:rsidR="00D135A3" w:rsidRDefault="002B628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4" w:type="dxa"/>
      <w:tblLook w:val="04A0" w:firstRow="1" w:lastRow="0" w:firstColumn="1" w:lastColumn="0" w:noHBand="0" w:noVBand="1"/>
    </w:tblPr>
    <w:tblGrid>
      <w:gridCol w:w="2830"/>
      <w:gridCol w:w="3941"/>
      <w:gridCol w:w="2863"/>
    </w:tblGrid>
    <w:tr w:rsidR="00905594" w:rsidRPr="00905594" w14:paraId="06B16908" w14:textId="77777777" w:rsidTr="00725EB1">
      <w:trPr>
        <w:trHeight w:val="1545"/>
      </w:trPr>
      <w:tc>
        <w:tcPr>
          <w:tcW w:w="2830" w:type="dxa"/>
          <w:shd w:val="clear" w:color="auto" w:fill="auto"/>
        </w:tcPr>
        <w:p w14:paraId="2FBF87B0" w14:textId="77777777" w:rsidR="00905594" w:rsidRPr="00905594" w:rsidRDefault="00AE1822" w:rsidP="00922004">
          <w:pPr>
            <w:jc w:val="center"/>
            <w:rPr>
              <w:sz w:val="28"/>
              <w:szCs w:val="28"/>
              <w:lang w:val="bg-BG"/>
            </w:rPr>
          </w:pPr>
          <w:r>
            <w:rPr>
              <w:noProof/>
              <w:lang w:val="en-GB" w:eastAsia="en-GB" w:bidi="ar-SA"/>
            </w:rPr>
            <w:drawing>
              <wp:anchor distT="0" distB="0" distL="114300" distR="114300" simplePos="0" relativeHeight="251659264" behindDoc="0" locked="0" layoutInCell="1" allowOverlap="1" wp14:anchorId="05EC1B77" wp14:editId="4DE65E73">
                <wp:simplePos x="0" y="0"/>
                <wp:positionH relativeFrom="column">
                  <wp:posOffset>252095</wp:posOffset>
                </wp:positionH>
                <wp:positionV relativeFrom="paragraph">
                  <wp:posOffset>82550</wp:posOffset>
                </wp:positionV>
                <wp:extent cx="1002665" cy="600075"/>
                <wp:effectExtent l="0" t="0" r="0" b="0"/>
                <wp:wrapNone/>
                <wp:docPr id="4"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C535CA" w14:textId="77777777" w:rsidR="00905594" w:rsidRPr="00905594" w:rsidRDefault="002B628E" w:rsidP="00922004">
          <w:pPr>
            <w:jc w:val="center"/>
            <w:rPr>
              <w:b/>
              <w:sz w:val="14"/>
              <w:szCs w:val="14"/>
              <w:lang w:val="bg-BG"/>
            </w:rPr>
          </w:pPr>
        </w:p>
        <w:p w14:paraId="65AD71D4" w14:textId="77777777" w:rsidR="00905594" w:rsidRPr="00905594" w:rsidRDefault="002B628E" w:rsidP="00922004">
          <w:pPr>
            <w:jc w:val="center"/>
            <w:rPr>
              <w:b/>
              <w:sz w:val="14"/>
              <w:szCs w:val="14"/>
              <w:lang w:val="bg-BG"/>
            </w:rPr>
          </w:pPr>
        </w:p>
        <w:p w14:paraId="49F4BDFD" w14:textId="77777777" w:rsidR="00905594" w:rsidRPr="00905594" w:rsidRDefault="00AE1822" w:rsidP="00173258">
          <w:pPr>
            <w:tabs>
              <w:tab w:val="center" w:pos="4153"/>
              <w:tab w:val="right" w:pos="9356"/>
            </w:tabs>
            <w:spacing w:after="0"/>
            <w:jc w:val="center"/>
            <w:rPr>
              <w:rFonts w:ascii="Arial" w:hAnsi="Arial" w:cs="Arial"/>
              <w:b/>
              <w:sz w:val="20"/>
              <w:lang w:val="bg-BG"/>
            </w:rPr>
          </w:pPr>
          <w:r w:rsidRPr="00922004">
            <w:rPr>
              <w:rFonts w:ascii="Arial" w:hAnsi="Arial" w:cs="Arial"/>
              <w:b/>
              <w:color w:val="234071"/>
              <w:lang w:val="bg-BG"/>
            </w:rPr>
            <w:t>Финансирано от Европейския съюз</w:t>
          </w:r>
        </w:p>
        <w:p w14:paraId="4D2962EF" w14:textId="77777777" w:rsidR="00905594" w:rsidRPr="00905594" w:rsidRDefault="00AE1822" w:rsidP="00922004">
          <w:pPr>
            <w:tabs>
              <w:tab w:val="center" w:pos="4153"/>
              <w:tab w:val="right" w:pos="9356"/>
            </w:tabs>
            <w:jc w:val="center"/>
            <w:rPr>
              <w:rFonts w:ascii="Candara" w:hAnsi="Candara" w:cs="Calibri"/>
              <w:b/>
              <w:bCs/>
              <w:snapToGrid w:val="0"/>
              <w:lang w:val="bg-BG"/>
            </w:rPr>
          </w:pPr>
          <w:r w:rsidRPr="00922004">
            <w:rPr>
              <w:rFonts w:ascii="Candara" w:hAnsi="Candara" w:cs="Calibri"/>
              <w:b/>
              <w:bCs/>
              <w:snapToGrid w:val="0"/>
              <w:color w:val="262F3C"/>
              <w:lang w:val="bg-BG"/>
            </w:rPr>
            <w:t>СледващоПоколениеЕС</w:t>
          </w:r>
        </w:p>
      </w:tc>
      <w:tc>
        <w:tcPr>
          <w:tcW w:w="3941" w:type="dxa"/>
          <w:shd w:val="clear" w:color="auto" w:fill="auto"/>
        </w:tcPr>
        <w:p w14:paraId="47C5445D" w14:textId="77777777" w:rsidR="00905594" w:rsidRPr="00905594" w:rsidRDefault="00AE1822" w:rsidP="00922004">
          <w:pPr>
            <w:spacing w:before="120" w:after="120"/>
            <w:jc w:val="center"/>
            <w:rPr>
              <w:rFonts w:ascii="Arial" w:hAnsi="Arial" w:cs="Arial"/>
              <w:b/>
              <w:bCs/>
              <w:lang w:val="bg-BG"/>
            </w:rPr>
          </w:pPr>
          <w:r w:rsidRPr="00922004">
            <w:rPr>
              <w:noProof/>
              <w:sz w:val="20"/>
              <w:lang w:val="en-GB" w:eastAsia="en-GB" w:bidi="ar-SA"/>
            </w:rPr>
            <w:drawing>
              <wp:inline distT="0" distB="0" distL="0" distR="0" wp14:anchorId="19C240CA" wp14:editId="4C3C4525">
                <wp:extent cx="685800" cy="6096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75DC7FF2" w14:textId="77777777" w:rsidR="00905594" w:rsidRPr="00905594" w:rsidRDefault="00AE1822" w:rsidP="00922004">
          <w:pPr>
            <w:spacing w:before="120" w:after="120"/>
            <w:jc w:val="center"/>
            <w:rPr>
              <w:rFonts w:ascii="Arial" w:hAnsi="Arial" w:cs="Arial"/>
              <w:snapToGrid w:val="0"/>
              <w:lang w:val="bg-BG"/>
            </w:rPr>
          </w:pPr>
          <w:r w:rsidRPr="00905594">
            <w:rPr>
              <w:rFonts w:ascii="Arial" w:hAnsi="Arial" w:cs="Arial"/>
              <w:b/>
              <w:bCs/>
              <w:szCs w:val="24"/>
              <w:lang w:val="bg-BG"/>
            </w:rPr>
            <w:t>План за възстановяване и устойчивост</w:t>
          </w:r>
        </w:p>
      </w:tc>
      <w:tc>
        <w:tcPr>
          <w:tcW w:w="2863" w:type="dxa"/>
          <w:shd w:val="clear" w:color="auto" w:fill="auto"/>
        </w:tcPr>
        <w:p w14:paraId="272550CA" w14:textId="76CF54F1" w:rsidR="00905594" w:rsidRPr="00905594" w:rsidRDefault="002B628E" w:rsidP="00922004">
          <w:pPr>
            <w:tabs>
              <w:tab w:val="center" w:pos="4153"/>
              <w:tab w:val="right" w:pos="9356"/>
            </w:tabs>
            <w:jc w:val="both"/>
            <w:rPr>
              <w:rFonts w:ascii="Arial" w:hAnsi="Arial" w:cs="Arial"/>
              <w:b/>
              <w:bCs/>
              <w:snapToGrid w:val="0"/>
              <w:lang w:val="bg-BG"/>
            </w:rPr>
          </w:pPr>
        </w:p>
        <w:p w14:paraId="5D99222F" w14:textId="77777777" w:rsidR="00905594" w:rsidRPr="00905594" w:rsidRDefault="002B628E" w:rsidP="00922004">
          <w:pPr>
            <w:tabs>
              <w:tab w:val="center" w:pos="4153"/>
              <w:tab w:val="right" w:pos="9356"/>
            </w:tabs>
            <w:jc w:val="both"/>
            <w:rPr>
              <w:rFonts w:ascii="Arial" w:hAnsi="Arial" w:cs="Arial"/>
              <w:b/>
              <w:bCs/>
              <w:snapToGrid w:val="0"/>
              <w:lang w:val="bg-BG"/>
            </w:rPr>
          </w:pPr>
        </w:p>
        <w:p w14:paraId="56C145E1" w14:textId="77777777" w:rsidR="00905594" w:rsidRPr="00905594" w:rsidRDefault="002B628E" w:rsidP="00922004">
          <w:pPr>
            <w:tabs>
              <w:tab w:val="center" w:pos="4153"/>
              <w:tab w:val="right" w:pos="9356"/>
            </w:tabs>
            <w:jc w:val="both"/>
            <w:rPr>
              <w:rFonts w:ascii="Arial" w:hAnsi="Arial" w:cs="Arial"/>
              <w:b/>
              <w:bCs/>
              <w:snapToGrid w:val="0"/>
              <w:lang w:val="bg-BG"/>
            </w:rPr>
          </w:pPr>
        </w:p>
        <w:p w14:paraId="312C2C6F" w14:textId="4E1DE8E1" w:rsidR="00905594" w:rsidRPr="00905594" w:rsidRDefault="00173258" w:rsidP="00173258">
          <w:pPr>
            <w:tabs>
              <w:tab w:val="center" w:pos="4153"/>
              <w:tab w:val="right" w:pos="9356"/>
            </w:tabs>
            <w:jc w:val="both"/>
            <w:rPr>
              <w:rFonts w:ascii="Arial" w:hAnsi="Arial" w:cs="Arial"/>
              <w:b/>
              <w:bCs/>
              <w:snapToGrid w:val="0"/>
              <w:lang w:val="bg-BG"/>
            </w:rPr>
          </w:pPr>
          <w:r>
            <w:rPr>
              <w:noProof/>
              <w:lang w:val="en-GB" w:eastAsia="en-GB" w:bidi="ar-SA"/>
            </w:rPr>
            <w:drawing>
              <wp:anchor distT="0" distB="0" distL="114300" distR="114300" simplePos="0" relativeHeight="251660288" behindDoc="0" locked="0" layoutInCell="1" allowOverlap="1" wp14:anchorId="3F358C62" wp14:editId="03E39D80">
                <wp:simplePos x="0" y="0"/>
                <wp:positionH relativeFrom="column">
                  <wp:posOffset>347980</wp:posOffset>
                </wp:positionH>
                <wp:positionV relativeFrom="paragraph">
                  <wp:posOffset>-744855</wp:posOffset>
                </wp:positionV>
                <wp:extent cx="790575" cy="662305"/>
                <wp:effectExtent l="0" t="0" r="9525" b="4445"/>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1822" w:rsidRPr="00482E11">
            <w:rPr>
              <w:rFonts w:ascii="Arial" w:hAnsi="Arial" w:cs="Arial"/>
              <w:b/>
              <w:bCs/>
              <w:snapToGrid w:val="0"/>
              <w:lang w:val="ru-RU"/>
            </w:rPr>
            <w:t xml:space="preserve">  </w:t>
          </w:r>
          <w:r w:rsidR="00AE1822" w:rsidRPr="00905594">
            <w:rPr>
              <w:rFonts w:ascii="Arial" w:hAnsi="Arial" w:cs="Arial"/>
              <w:b/>
              <w:bCs/>
              <w:snapToGrid w:val="0"/>
              <w:lang w:val="bg-BG"/>
            </w:rPr>
            <w:t>Република България</w:t>
          </w:r>
        </w:p>
      </w:tc>
    </w:tr>
  </w:tbl>
  <w:p w14:paraId="5F170F0D" w14:textId="77777777" w:rsidR="00905594" w:rsidRDefault="002B62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F24F1"/>
    <w:multiLevelType w:val="hybridMultilevel"/>
    <w:tmpl w:val="B388170C"/>
    <w:lvl w:ilvl="0" w:tplc="19B6B678">
      <w:start w:val="1"/>
      <w:numFmt w:val="decimal"/>
      <w:lvlText w:val="6.%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71EE038B"/>
    <w:multiLevelType w:val="hybridMultilevel"/>
    <w:tmpl w:val="258CD182"/>
    <w:lvl w:ilvl="0" w:tplc="E7C4EBC8">
      <w:start w:val="20"/>
      <w:numFmt w:val="bullet"/>
      <w:lvlText w:val="-"/>
      <w:lvlJc w:val="left"/>
      <w:pPr>
        <w:ind w:left="1083" w:hanging="360"/>
      </w:pPr>
      <w:rPr>
        <w:rFonts w:ascii="Calibri" w:eastAsiaTheme="minorHAnsi" w:hAnsi="Calibri" w:cs="Calibri" w:hint="default"/>
      </w:rPr>
    </w:lvl>
    <w:lvl w:ilvl="1" w:tplc="04020003" w:tentative="1">
      <w:start w:val="1"/>
      <w:numFmt w:val="bullet"/>
      <w:lvlText w:val="o"/>
      <w:lvlJc w:val="left"/>
      <w:pPr>
        <w:ind w:left="1803" w:hanging="360"/>
      </w:pPr>
      <w:rPr>
        <w:rFonts w:ascii="Courier New" w:hAnsi="Courier New" w:cs="Courier New" w:hint="default"/>
      </w:rPr>
    </w:lvl>
    <w:lvl w:ilvl="2" w:tplc="04020005" w:tentative="1">
      <w:start w:val="1"/>
      <w:numFmt w:val="bullet"/>
      <w:lvlText w:val=""/>
      <w:lvlJc w:val="left"/>
      <w:pPr>
        <w:ind w:left="2523" w:hanging="360"/>
      </w:pPr>
      <w:rPr>
        <w:rFonts w:ascii="Wingdings" w:hAnsi="Wingdings" w:hint="default"/>
      </w:rPr>
    </w:lvl>
    <w:lvl w:ilvl="3" w:tplc="04020001" w:tentative="1">
      <w:start w:val="1"/>
      <w:numFmt w:val="bullet"/>
      <w:lvlText w:val=""/>
      <w:lvlJc w:val="left"/>
      <w:pPr>
        <w:ind w:left="3243" w:hanging="360"/>
      </w:pPr>
      <w:rPr>
        <w:rFonts w:ascii="Symbol" w:hAnsi="Symbol" w:hint="default"/>
      </w:rPr>
    </w:lvl>
    <w:lvl w:ilvl="4" w:tplc="04020003" w:tentative="1">
      <w:start w:val="1"/>
      <w:numFmt w:val="bullet"/>
      <w:lvlText w:val="o"/>
      <w:lvlJc w:val="left"/>
      <w:pPr>
        <w:ind w:left="3963" w:hanging="360"/>
      </w:pPr>
      <w:rPr>
        <w:rFonts w:ascii="Courier New" w:hAnsi="Courier New" w:cs="Courier New" w:hint="default"/>
      </w:rPr>
    </w:lvl>
    <w:lvl w:ilvl="5" w:tplc="04020005" w:tentative="1">
      <w:start w:val="1"/>
      <w:numFmt w:val="bullet"/>
      <w:lvlText w:val=""/>
      <w:lvlJc w:val="left"/>
      <w:pPr>
        <w:ind w:left="4683" w:hanging="360"/>
      </w:pPr>
      <w:rPr>
        <w:rFonts w:ascii="Wingdings" w:hAnsi="Wingdings" w:hint="default"/>
      </w:rPr>
    </w:lvl>
    <w:lvl w:ilvl="6" w:tplc="04020001" w:tentative="1">
      <w:start w:val="1"/>
      <w:numFmt w:val="bullet"/>
      <w:lvlText w:val=""/>
      <w:lvlJc w:val="left"/>
      <w:pPr>
        <w:ind w:left="5403" w:hanging="360"/>
      </w:pPr>
      <w:rPr>
        <w:rFonts w:ascii="Symbol" w:hAnsi="Symbol" w:hint="default"/>
      </w:rPr>
    </w:lvl>
    <w:lvl w:ilvl="7" w:tplc="04020003" w:tentative="1">
      <w:start w:val="1"/>
      <w:numFmt w:val="bullet"/>
      <w:lvlText w:val="o"/>
      <w:lvlJc w:val="left"/>
      <w:pPr>
        <w:ind w:left="6123" w:hanging="360"/>
      </w:pPr>
      <w:rPr>
        <w:rFonts w:ascii="Courier New" w:hAnsi="Courier New" w:cs="Courier New" w:hint="default"/>
      </w:rPr>
    </w:lvl>
    <w:lvl w:ilvl="8" w:tplc="04020005" w:tentative="1">
      <w:start w:val="1"/>
      <w:numFmt w:val="bullet"/>
      <w:lvlText w:val=""/>
      <w:lvlJc w:val="left"/>
      <w:pPr>
        <w:ind w:left="6843"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EB"/>
    <w:rsid w:val="00173258"/>
    <w:rsid w:val="00180844"/>
    <w:rsid w:val="002B628E"/>
    <w:rsid w:val="003C603C"/>
    <w:rsid w:val="00421588"/>
    <w:rsid w:val="00474AAF"/>
    <w:rsid w:val="004B5B78"/>
    <w:rsid w:val="004C6EE1"/>
    <w:rsid w:val="00562285"/>
    <w:rsid w:val="00635F42"/>
    <w:rsid w:val="00773658"/>
    <w:rsid w:val="00800E14"/>
    <w:rsid w:val="008D4447"/>
    <w:rsid w:val="009A7DCD"/>
    <w:rsid w:val="00AE1822"/>
    <w:rsid w:val="00B63015"/>
    <w:rsid w:val="00B65DF2"/>
    <w:rsid w:val="00CC39AE"/>
    <w:rsid w:val="00CE13E3"/>
    <w:rsid w:val="00D4371C"/>
    <w:rsid w:val="00E374D2"/>
    <w:rsid w:val="00E43152"/>
    <w:rsid w:val="00F330BB"/>
    <w:rsid w:val="00F65E29"/>
    <w:rsid w:val="00F748EB"/>
    <w:rsid w:val="00F8221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2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8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8EB"/>
  </w:style>
  <w:style w:type="paragraph" w:styleId="Footer">
    <w:name w:val="footer"/>
    <w:basedOn w:val="Normal"/>
    <w:link w:val="FooterChar"/>
    <w:uiPriority w:val="99"/>
    <w:unhideWhenUsed/>
    <w:rsid w:val="00F74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8EB"/>
  </w:style>
  <w:style w:type="character" w:styleId="PageNumber">
    <w:name w:val="page number"/>
    <w:basedOn w:val="DefaultParagraphFont"/>
    <w:rsid w:val="00F748EB"/>
  </w:style>
  <w:style w:type="paragraph" w:styleId="ListParagraph">
    <w:name w:val="List Paragraph"/>
    <w:basedOn w:val="Normal"/>
    <w:uiPriority w:val="34"/>
    <w:qFormat/>
    <w:rsid w:val="00F748EB"/>
    <w:pPr>
      <w:ind w:left="720"/>
      <w:contextualSpacing/>
    </w:pPr>
  </w:style>
  <w:style w:type="paragraph" w:styleId="BalloonText">
    <w:name w:val="Balloon Text"/>
    <w:basedOn w:val="Normal"/>
    <w:link w:val="BalloonTextChar"/>
    <w:uiPriority w:val="99"/>
    <w:semiHidden/>
    <w:unhideWhenUsed/>
    <w:rsid w:val="00CC39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9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8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8EB"/>
  </w:style>
  <w:style w:type="paragraph" w:styleId="Footer">
    <w:name w:val="footer"/>
    <w:basedOn w:val="Normal"/>
    <w:link w:val="FooterChar"/>
    <w:uiPriority w:val="99"/>
    <w:unhideWhenUsed/>
    <w:rsid w:val="00F74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8EB"/>
  </w:style>
  <w:style w:type="character" w:styleId="PageNumber">
    <w:name w:val="page number"/>
    <w:basedOn w:val="DefaultParagraphFont"/>
    <w:rsid w:val="00F748EB"/>
  </w:style>
  <w:style w:type="paragraph" w:styleId="ListParagraph">
    <w:name w:val="List Paragraph"/>
    <w:basedOn w:val="Normal"/>
    <w:uiPriority w:val="34"/>
    <w:qFormat/>
    <w:rsid w:val="00F748EB"/>
    <w:pPr>
      <w:ind w:left="720"/>
      <w:contextualSpacing/>
    </w:pPr>
  </w:style>
  <w:style w:type="paragraph" w:styleId="BalloonText">
    <w:name w:val="Balloon Text"/>
    <w:basedOn w:val="Normal"/>
    <w:link w:val="BalloonTextChar"/>
    <w:uiPriority w:val="99"/>
    <w:semiHidden/>
    <w:unhideWhenUsed/>
    <w:rsid w:val="00CC39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9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12</Pages>
  <Words>4719</Words>
  <Characters>26899</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Гергана Пашева</dc:creator>
  <cp:lastModifiedBy>Neli</cp:lastModifiedBy>
  <cp:revision>6</cp:revision>
  <dcterms:created xsi:type="dcterms:W3CDTF">2024-12-27T14:13:00Z</dcterms:created>
  <dcterms:modified xsi:type="dcterms:W3CDTF">2024-12-29T21:19:00Z</dcterms:modified>
</cp:coreProperties>
</file>