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E4022" w14:textId="77777777" w:rsidR="00E776F0" w:rsidRPr="00E776F0" w:rsidRDefault="00E776F0" w:rsidP="00E776F0">
      <w:pPr>
        <w:jc w:val="center"/>
        <w:rPr>
          <w:rFonts w:ascii="Times New Roman" w:hAnsi="Times New Roman" w:cs="Times New Roman"/>
          <w:sz w:val="24"/>
          <w:szCs w:val="24"/>
        </w:rPr>
      </w:pPr>
      <w:r w:rsidRPr="00E776F0">
        <w:rPr>
          <w:rFonts w:ascii="Times New Roman" w:eastAsia="Times New Roman" w:hAnsi="Times New Roman" w:cs="Times New Roman"/>
          <w:b/>
          <w:sz w:val="24"/>
          <w:szCs w:val="24"/>
          <w:lang w:eastAsia="fr-FR"/>
        </w:rPr>
        <w:t>Ред за подписване на декларации Приложение 14 и Приложение 15</w:t>
      </w:r>
    </w:p>
    <w:p w14:paraId="644F3C14" w14:textId="77777777" w:rsidR="00BB22DE" w:rsidRPr="00E776F0" w:rsidRDefault="00BB22DE" w:rsidP="0032652A">
      <w:pPr>
        <w:pStyle w:val="ListParagraph"/>
        <w:numPr>
          <w:ilvl w:val="0"/>
          <w:numId w:val="5"/>
        </w:numPr>
        <w:tabs>
          <w:tab w:val="left" w:pos="284"/>
        </w:tabs>
        <w:ind w:left="0" w:firstLine="0"/>
        <w:jc w:val="both"/>
        <w:rPr>
          <w:rFonts w:ascii="Times New Roman" w:hAnsi="Times New Roman" w:cs="Times New Roman"/>
        </w:rPr>
      </w:pPr>
      <w:r w:rsidRPr="00E776F0">
        <w:rPr>
          <w:rFonts w:ascii="Times New Roman" w:hAnsi="Times New Roman" w:cs="Times New Roman"/>
          <w:noProof/>
          <w:lang w:eastAsia="bg-BG"/>
        </w:rPr>
        <mc:AlternateContent>
          <mc:Choice Requires="wps">
            <w:drawing>
              <wp:anchor distT="0" distB="0" distL="114300" distR="114300" simplePos="0" relativeHeight="251659264" behindDoc="1" locked="0" layoutInCell="1" allowOverlap="1" wp14:anchorId="61C75D5B" wp14:editId="4C9234C0">
                <wp:simplePos x="0" y="0"/>
                <wp:positionH relativeFrom="margin">
                  <wp:posOffset>3982085</wp:posOffset>
                </wp:positionH>
                <wp:positionV relativeFrom="paragraph">
                  <wp:posOffset>830580</wp:posOffset>
                </wp:positionV>
                <wp:extent cx="1866900" cy="906145"/>
                <wp:effectExtent l="0" t="0" r="19050" b="27305"/>
                <wp:wrapTight wrapText="bothSides">
                  <wp:wrapPolygon edited="0">
                    <wp:start x="0" y="0"/>
                    <wp:lineTo x="0" y="21797"/>
                    <wp:lineTo x="21600" y="21797"/>
                    <wp:lineTo x="21600" y="0"/>
                    <wp:lineTo x="0" y="0"/>
                  </wp:wrapPolygon>
                </wp:wrapTight>
                <wp:docPr id="5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906145"/>
                        </a:xfrm>
                        <a:prstGeom prst="rect">
                          <a:avLst/>
                        </a:prstGeom>
                        <a:solidFill>
                          <a:srgbClr val="C0C0C0">
                            <a:alpha val="97000"/>
                          </a:srgbClr>
                        </a:solidFill>
                        <a:ln w="12700">
                          <a:solidFill>
                            <a:srgbClr val="C0C0C0"/>
                          </a:solidFill>
                          <a:miter lim="800000"/>
                          <a:headEnd/>
                          <a:tailEnd/>
                        </a:ln>
                      </wps:spPr>
                      <wps:txbx>
                        <w:txbxContent>
                          <w:p w14:paraId="3271A422" w14:textId="77777777" w:rsidR="00BB22DE" w:rsidRPr="007F3240" w:rsidRDefault="00BB22DE" w:rsidP="00BB22DE">
                            <w:pPr>
                              <w:tabs>
                                <w:tab w:val="left" w:pos="0"/>
                              </w:tabs>
                              <w:jc w:val="center"/>
                              <w:rPr>
                                <w:rFonts w:ascii="Times New Roman" w:hAnsi="Times New Roman" w:cs="Times New Roman"/>
                                <w:b/>
                                <w:bCs/>
                                <w:color w:val="000080"/>
                                <w:sz w:val="20"/>
                                <w:szCs w:val="20"/>
                              </w:rPr>
                            </w:pPr>
                            <w:r w:rsidRPr="007F3240">
                              <w:rPr>
                                <w:rFonts w:ascii="Times New Roman" w:hAnsi="Times New Roman" w:cs="Times New Roman"/>
                                <w:b/>
                                <w:bCs/>
                                <w:color w:val="000080"/>
                                <w:sz w:val="20"/>
                                <w:szCs w:val="20"/>
                              </w:rPr>
                              <w:t>Приложение 14</w:t>
                            </w:r>
                          </w:p>
                          <w:p w14:paraId="4CB26885" w14:textId="77777777" w:rsidR="00BB22DE" w:rsidRPr="007F3240" w:rsidRDefault="00BB22DE" w:rsidP="00BB22DE">
                            <w:pPr>
                              <w:tabs>
                                <w:tab w:val="left" w:pos="0"/>
                              </w:tabs>
                              <w:jc w:val="center"/>
                              <w:rPr>
                                <w:rFonts w:ascii="Times New Roman" w:hAnsi="Times New Roman" w:cs="Times New Roman"/>
                                <w:b/>
                                <w:bCs/>
                                <w:color w:val="000080"/>
                                <w:sz w:val="14"/>
                                <w:szCs w:val="14"/>
                              </w:rPr>
                            </w:pPr>
                            <w:proofErr w:type="spellStart"/>
                            <w:r w:rsidRPr="007F3240">
                              <w:rPr>
                                <w:rFonts w:ascii="Times New Roman" w:hAnsi="Times New Roman" w:cs="Times New Roman"/>
                                <w:b/>
                                <w:bCs/>
                                <w:color w:val="000080"/>
                                <w:sz w:val="20"/>
                                <w:szCs w:val="20"/>
                              </w:rPr>
                              <w:t>Дeкларация</w:t>
                            </w:r>
                            <w:proofErr w:type="spellEnd"/>
                            <w:r w:rsidRPr="007F3240">
                              <w:rPr>
                                <w:rFonts w:ascii="Times New Roman" w:hAnsi="Times New Roman" w:cs="Times New Roman"/>
                                <w:b/>
                                <w:bCs/>
                                <w:color w:val="000080"/>
                                <w:sz w:val="20"/>
                                <w:szCs w:val="20"/>
                              </w:rPr>
                              <w:t xml:space="preserve"> за запознаване с определението за нередност, измама и корупция</w:t>
                            </w:r>
                          </w:p>
                          <w:p w14:paraId="73608AAF" w14:textId="77777777" w:rsidR="00BB22DE" w:rsidRDefault="00BB22DE" w:rsidP="00BB22DE">
                            <w:pPr>
                              <w:tabs>
                                <w:tab w:val="left" w:pos="0"/>
                              </w:tabs>
                              <w:jc w:val="center"/>
                              <w:rPr>
                                <w:rFonts w:ascii="Bookman Old Style" w:hAnsi="Bookman Old Style"/>
                                <w:b/>
                                <w:bCs/>
                                <w:color w:val="000080"/>
                                <w:sz w:val="14"/>
                                <w:szCs w:val="14"/>
                              </w:rPr>
                            </w:pPr>
                          </w:p>
                          <w:p w14:paraId="59B549A5" w14:textId="77777777" w:rsidR="00BB22DE" w:rsidRDefault="00BB22DE" w:rsidP="00BB22DE">
                            <w:pPr>
                              <w:tabs>
                                <w:tab w:val="left" w:pos="0"/>
                              </w:tabs>
                              <w:jc w:val="center"/>
                              <w:rPr>
                                <w:rFonts w:ascii="Bookman Old Style" w:hAnsi="Bookman Old Style"/>
                                <w:b/>
                                <w:bCs/>
                                <w:color w:val="000080"/>
                                <w:sz w:val="14"/>
                                <w:szCs w:val="14"/>
                              </w:rPr>
                            </w:pPr>
                          </w:p>
                          <w:p w14:paraId="1AD71257" w14:textId="77777777" w:rsidR="00BB22DE" w:rsidRDefault="00BB22DE" w:rsidP="00BB22DE">
                            <w:pPr>
                              <w:tabs>
                                <w:tab w:val="left" w:pos="0"/>
                              </w:tabs>
                              <w:jc w:val="center"/>
                              <w:rPr>
                                <w:rFonts w:ascii="Bookman Old Style" w:hAnsi="Bookman Old Style"/>
                                <w:b/>
                                <w:bCs/>
                                <w:color w:val="000080"/>
                                <w:sz w:val="14"/>
                                <w:szCs w:val="14"/>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C75D5B" id="_x0000_t202" coordsize="21600,21600" o:spt="202" path="m,l,21600r21600,l21600,xe">
                <v:stroke joinstyle="miter"/>
                <v:path gradientshapeok="t" o:connecttype="rect"/>
              </v:shapetype>
              <v:shape id="Text Box 21" o:spid="_x0000_s1026" type="#_x0000_t202" style="position:absolute;left:0;text-align:left;margin-left:313.55pt;margin-top:65.4pt;width:147pt;height:71.3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" fillcolor="silver" strokecolor="silver" strokeweight="1pt">
                <v:fill opacity="63479f"/>
                <v:textbox inset="0,0,0,0">
                  <w:txbxContent>
                    <w:p w14:paraId="3271A422" w14:textId="77777777" w:rsidR="00BB22DE" w:rsidRPr="007F3240" w:rsidRDefault="00BB22DE" w:rsidP="00BB22DE">
                      <w:pPr>
                        <w:tabs>
                          <w:tab w:val="left" w:pos="0"/>
                        </w:tabs>
                        <w:jc w:val="center"/>
                        <w:rPr>
                          <w:rFonts w:ascii="Times New Roman" w:hAnsi="Times New Roman" w:cs="Times New Roman"/>
                          <w:b/>
                          <w:bCs/>
                          <w:color w:val="000080"/>
                          <w:sz w:val="20"/>
                          <w:szCs w:val="20"/>
                        </w:rPr>
                      </w:pPr>
                      <w:r w:rsidRPr="007F3240">
                        <w:rPr>
                          <w:rFonts w:ascii="Times New Roman" w:hAnsi="Times New Roman" w:cs="Times New Roman"/>
                          <w:b/>
                          <w:bCs/>
                          <w:color w:val="000080"/>
                          <w:sz w:val="20"/>
                          <w:szCs w:val="20"/>
                        </w:rPr>
                        <w:t>Приложение 14</w:t>
                      </w:r>
                    </w:p>
                    <w:p w14:paraId="4CB26885" w14:textId="77777777" w:rsidR="00BB22DE" w:rsidRPr="007F3240" w:rsidRDefault="00BB22DE" w:rsidP="00BB22DE">
                      <w:pPr>
                        <w:tabs>
                          <w:tab w:val="left" w:pos="0"/>
                        </w:tabs>
                        <w:jc w:val="center"/>
                        <w:rPr>
                          <w:rFonts w:ascii="Times New Roman" w:hAnsi="Times New Roman" w:cs="Times New Roman"/>
                          <w:b/>
                          <w:bCs/>
                          <w:color w:val="000080"/>
                          <w:sz w:val="14"/>
                          <w:szCs w:val="14"/>
                        </w:rPr>
                      </w:pPr>
                      <w:proofErr w:type="spellStart"/>
                      <w:r w:rsidRPr="007F3240">
                        <w:rPr>
                          <w:rFonts w:ascii="Times New Roman" w:hAnsi="Times New Roman" w:cs="Times New Roman"/>
                          <w:b/>
                          <w:bCs/>
                          <w:color w:val="000080"/>
                          <w:sz w:val="20"/>
                          <w:szCs w:val="20"/>
                        </w:rPr>
                        <w:t>Дeкларация</w:t>
                      </w:r>
                      <w:proofErr w:type="spellEnd"/>
                      <w:r w:rsidRPr="007F3240">
                        <w:rPr>
                          <w:rFonts w:ascii="Times New Roman" w:hAnsi="Times New Roman" w:cs="Times New Roman"/>
                          <w:b/>
                          <w:bCs/>
                          <w:color w:val="000080"/>
                          <w:sz w:val="20"/>
                          <w:szCs w:val="20"/>
                        </w:rPr>
                        <w:t xml:space="preserve"> за запознаване с определението за нередност, измама и корупция</w:t>
                      </w:r>
                    </w:p>
                    <w:p w14:paraId="73608AAF" w14:textId="77777777" w:rsidR="00BB22DE" w:rsidRDefault="00BB22DE" w:rsidP="00BB22DE">
                      <w:pPr>
                        <w:tabs>
                          <w:tab w:val="left" w:pos="0"/>
                        </w:tabs>
                        <w:jc w:val="center"/>
                        <w:rPr>
                          <w:rFonts w:ascii="Bookman Old Style" w:hAnsi="Bookman Old Style"/>
                          <w:b/>
                          <w:bCs/>
                          <w:color w:val="000080"/>
                          <w:sz w:val="14"/>
                          <w:szCs w:val="14"/>
                        </w:rPr>
                      </w:pPr>
                    </w:p>
                    <w:p w14:paraId="59B549A5" w14:textId="77777777" w:rsidR="00BB22DE" w:rsidRDefault="00BB22DE" w:rsidP="00BB22DE">
                      <w:pPr>
                        <w:tabs>
                          <w:tab w:val="left" w:pos="0"/>
                        </w:tabs>
                        <w:jc w:val="center"/>
                        <w:rPr>
                          <w:rFonts w:ascii="Bookman Old Style" w:hAnsi="Bookman Old Style"/>
                          <w:b/>
                          <w:bCs/>
                          <w:color w:val="000080"/>
                          <w:sz w:val="14"/>
                          <w:szCs w:val="14"/>
                        </w:rPr>
                      </w:pPr>
                    </w:p>
                    <w:p w14:paraId="1AD71257" w14:textId="77777777" w:rsidR="00BB22DE" w:rsidRDefault="00BB22DE" w:rsidP="00BB22DE">
                      <w:pPr>
                        <w:tabs>
                          <w:tab w:val="left" w:pos="0"/>
                        </w:tabs>
                        <w:jc w:val="center"/>
                        <w:rPr>
                          <w:rFonts w:ascii="Bookman Old Style" w:hAnsi="Bookman Old Style"/>
                          <w:b/>
                          <w:bCs/>
                          <w:color w:val="000080"/>
                          <w:sz w:val="14"/>
                          <w:szCs w:val="14"/>
                          <w:lang w:val="ru-RU"/>
                        </w:rPr>
                      </w:pPr>
                    </w:p>
                  </w:txbxContent>
                </v:textbox>
                <w10:wrap type="tight" anchorx="margin"/>
              </v:shape>
            </w:pict>
          </mc:Fallback>
        </mc:AlternateContent>
      </w:r>
      <w:r w:rsidRPr="00E776F0">
        <w:rPr>
          <w:rFonts w:ascii="Times New Roman" w:hAnsi="Times New Roman" w:cs="Times New Roman"/>
        </w:rPr>
        <w:t xml:space="preserve">Членовете на екип за изпълнение на инвестиция на КП, пряко ангажирани с тези дейности по съответната инвестиция, и служителите на ДНФ, СНД и СН подписват декларация за запознаване с определението за нередност, измама и корупция и реда за процедирането на получени данни, на базата на които обосновано може да се предположи, за наличието на нередност/сериозна нередност (Приложение 14). Членовете на екипа/служителите подписват декларацията в 5-дневен срок от определянето им/назначаването им. Декларациите се въвеждат в ИС на ПВУ от СНД/КП към всяка инвестиция преди подаване на първия ФТО и се съхраняват в съответната организация/административна структура. </w:t>
      </w:r>
    </w:p>
    <w:p w14:paraId="4EC0C267" w14:textId="77777777" w:rsidR="00642250" w:rsidRPr="00E776F0" w:rsidRDefault="00642250">
      <w:pPr>
        <w:rPr>
          <w:rFonts w:ascii="Times New Roman" w:hAnsi="Times New Roman" w:cs="Times New Roman"/>
        </w:rPr>
      </w:pPr>
    </w:p>
    <w:bookmarkStart w:id="0" w:name="_GoBack"/>
    <w:p w14:paraId="43BD0C69" w14:textId="1522DECA" w:rsidR="00BB22DE" w:rsidRPr="00E776F0" w:rsidRDefault="00BB22DE" w:rsidP="0032652A">
      <w:pPr>
        <w:pStyle w:val="ListParagraph"/>
        <w:numPr>
          <w:ilvl w:val="0"/>
          <w:numId w:val="5"/>
        </w:numPr>
        <w:tabs>
          <w:tab w:val="left" w:pos="284"/>
        </w:tabs>
        <w:ind w:left="0" w:firstLine="0"/>
        <w:jc w:val="both"/>
        <w:rPr>
          <w:rFonts w:ascii="Times New Roman" w:hAnsi="Times New Roman" w:cs="Times New Roman"/>
        </w:rPr>
      </w:pPr>
      <w:r w:rsidRPr="00E776F0">
        <w:rPr>
          <w:rFonts w:ascii="Times New Roman" w:hAnsi="Times New Roman" w:cs="Times New Roman"/>
          <w:noProof/>
          <w:lang w:eastAsia="bg-BG"/>
        </w:rPr>
        <mc:AlternateContent>
          <mc:Choice Requires="wps">
            <w:drawing>
              <wp:anchor distT="0" distB="0" distL="114300" distR="114300" simplePos="0" relativeHeight="251661312" behindDoc="1" locked="0" layoutInCell="1" allowOverlap="1" wp14:anchorId="3AD49550" wp14:editId="0870F44F">
                <wp:simplePos x="0" y="0"/>
                <wp:positionH relativeFrom="margin">
                  <wp:posOffset>3918585</wp:posOffset>
                </wp:positionH>
                <wp:positionV relativeFrom="paragraph">
                  <wp:posOffset>78105</wp:posOffset>
                </wp:positionV>
                <wp:extent cx="1866900" cy="795020"/>
                <wp:effectExtent l="0" t="0" r="19050" b="24130"/>
                <wp:wrapTight wrapText="bothSides">
                  <wp:wrapPolygon edited="0">
                    <wp:start x="0" y="0"/>
                    <wp:lineTo x="0" y="21738"/>
                    <wp:lineTo x="21600" y="21738"/>
                    <wp:lineTo x="21600" y="0"/>
                    <wp:lineTo x="0" y="0"/>
                  </wp:wrapPolygon>
                </wp:wrapTight>
                <wp:docPr id="6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795020"/>
                        </a:xfrm>
                        <a:prstGeom prst="rect">
                          <a:avLst/>
                        </a:prstGeom>
                        <a:solidFill>
                          <a:srgbClr val="C0C0C0">
                            <a:alpha val="97000"/>
                          </a:srgbClr>
                        </a:solidFill>
                        <a:ln w="12700">
                          <a:solidFill>
                            <a:srgbClr val="C0C0C0"/>
                          </a:solidFill>
                          <a:miter lim="800000"/>
                          <a:headEnd/>
                          <a:tailEnd/>
                        </a:ln>
                      </wps:spPr>
                      <wps:txbx>
                        <w:txbxContent>
                          <w:p w14:paraId="0F931750" w14:textId="77777777" w:rsidR="00BB22DE" w:rsidRPr="007F3240" w:rsidRDefault="00BB22DE" w:rsidP="00BB22DE">
                            <w:pPr>
                              <w:tabs>
                                <w:tab w:val="left" w:pos="0"/>
                              </w:tabs>
                              <w:jc w:val="center"/>
                              <w:rPr>
                                <w:rFonts w:ascii="Times New Roman" w:hAnsi="Times New Roman" w:cs="Times New Roman"/>
                                <w:b/>
                                <w:bCs/>
                                <w:color w:val="000080"/>
                                <w:sz w:val="20"/>
                                <w:szCs w:val="20"/>
                              </w:rPr>
                            </w:pPr>
                            <w:r w:rsidRPr="007F3240">
                              <w:rPr>
                                <w:rFonts w:ascii="Times New Roman" w:hAnsi="Times New Roman" w:cs="Times New Roman"/>
                                <w:b/>
                                <w:bCs/>
                                <w:color w:val="000080"/>
                                <w:sz w:val="20"/>
                                <w:szCs w:val="20"/>
                              </w:rPr>
                              <w:t>Приложение 15</w:t>
                            </w:r>
                          </w:p>
                          <w:p w14:paraId="18F20612" w14:textId="77777777" w:rsidR="00BB22DE" w:rsidRPr="007F3240" w:rsidRDefault="00BB22DE" w:rsidP="00BB22DE">
                            <w:pPr>
                              <w:tabs>
                                <w:tab w:val="left" w:pos="0"/>
                              </w:tabs>
                              <w:jc w:val="center"/>
                              <w:rPr>
                                <w:rFonts w:ascii="Times New Roman" w:hAnsi="Times New Roman" w:cs="Times New Roman"/>
                                <w:b/>
                                <w:bCs/>
                                <w:color w:val="000080"/>
                                <w:sz w:val="20"/>
                                <w:szCs w:val="20"/>
                              </w:rPr>
                            </w:pPr>
                            <w:r w:rsidRPr="007F3240">
                              <w:rPr>
                                <w:rFonts w:ascii="Times New Roman" w:hAnsi="Times New Roman" w:cs="Times New Roman"/>
                                <w:b/>
                                <w:bCs/>
                                <w:color w:val="000080"/>
                                <w:sz w:val="20"/>
                                <w:szCs w:val="20"/>
                              </w:rPr>
                              <w:t>Декларация за липса на конфликт на интереси</w:t>
                            </w:r>
                          </w:p>
                          <w:p w14:paraId="17DFA840" w14:textId="77777777" w:rsidR="00BB22DE" w:rsidRDefault="00BB22DE" w:rsidP="00BB22DE">
                            <w:pPr>
                              <w:tabs>
                                <w:tab w:val="left" w:pos="0"/>
                              </w:tabs>
                              <w:jc w:val="center"/>
                              <w:rPr>
                                <w:rFonts w:ascii="Bookman Old Style" w:hAnsi="Bookman Old Style"/>
                                <w:b/>
                                <w:bCs/>
                                <w:color w:val="000080"/>
                                <w:sz w:val="14"/>
                                <w:szCs w:val="14"/>
                              </w:rPr>
                            </w:pPr>
                          </w:p>
                          <w:p w14:paraId="7A464C34" w14:textId="77777777" w:rsidR="00BB22DE" w:rsidRDefault="00BB22DE" w:rsidP="00BB22DE">
                            <w:pPr>
                              <w:tabs>
                                <w:tab w:val="left" w:pos="0"/>
                              </w:tabs>
                              <w:jc w:val="center"/>
                              <w:rPr>
                                <w:rFonts w:ascii="Bookman Old Style" w:hAnsi="Bookman Old Style"/>
                                <w:b/>
                                <w:bCs/>
                                <w:color w:val="000080"/>
                                <w:sz w:val="14"/>
                                <w:szCs w:val="14"/>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E8470DF" id="Text Box 22" o:spid="_x0000_s1027" type="#_x0000_t202" style="position:absolute;left:0;text-align:left;margin-left:308.55pt;margin-top:6.15pt;width:147pt;height:62.6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" fillcolor="silver" strokecolor="silver" strokeweight="1pt">
                <v:fill opacity="63479f"/>
                <v:textbox inset="0,0,0,0">
                  <w:txbxContent>
                    <w:p w:rsidR="00BB22DE" w:rsidRPr="007F3240" w:rsidRDefault="00BB22DE" w:rsidP="00BB22DE">
                      <w:pPr>
                        <w:tabs>
                          <w:tab w:val="left" w:pos="0"/>
                        </w:tabs>
                        <w:jc w:val="center"/>
                        <w:rPr>
                          <w:rFonts w:ascii="Times New Roman" w:hAnsi="Times New Roman" w:cs="Times New Roman"/>
                          <w:b/>
                          <w:bCs/>
                          <w:color w:val="000080"/>
                          <w:sz w:val="20"/>
                          <w:szCs w:val="20"/>
                        </w:rPr>
                      </w:pPr>
                      <w:r w:rsidRPr="007F3240">
                        <w:rPr>
                          <w:rFonts w:ascii="Times New Roman" w:hAnsi="Times New Roman" w:cs="Times New Roman"/>
                          <w:b/>
                          <w:bCs/>
                          <w:color w:val="000080"/>
                          <w:sz w:val="20"/>
                          <w:szCs w:val="20"/>
                        </w:rPr>
                        <w:t>Приложение 15</w:t>
                      </w:r>
                    </w:p>
                    <w:p w:rsidR="00BB22DE" w:rsidRPr="007F3240" w:rsidRDefault="00BB22DE" w:rsidP="00BB22DE">
                      <w:pPr>
                        <w:tabs>
                          <w:tab w:val="left" w:pos="0"/>
                        </w:tabs>
                        <w:jc w:val="center"/>
                        <w:rPr>
                          <w:rFonts w:ascii="Times New Roman" w:hAnsi="Times New Roman" w:cs="Times New Roman"/>
                          <w:b/>
                          <w:bCs/>
                          <w:color w:val="000080"/>
                          <w:sz w:val="20"/>
                          <w:szCs w:val="20"/>
                        </w:rPr>
                      </w:pPr>
                      <w:r w:rsidRPr="007F3240">
                        <w:rPr>
                          <w:rFonts w:ascii="Times New Roman" w:hAnsi="Times New Roman" w:cs="Times New Roman"/>
                          <w:b/>
                          <w:bCs/>
                          <w:color w:val="000080"/>
                          <w:sz w:val="20"/>
                          <w:szCs w:val="20"/>
                        </w:rPr>
                        <w:t>Декларация за липса на конфликт на интереси</w:t>
                      </w:r>
                    </w:p>
                    <w:p w:rsidR="00BB22DE" w:rsidRDefault="00BB22DE" w:rsidP="00BB22DE">
                      <w:pPr>
                        <w:tabs>
                          <w:tab w:val="left" w:pos="0"/>
                        </w:tabs>
                        <w:jc w:val="center"/>
                        <w:rPr>
                          <w:rFonts w:ascii="Bookman Old Style" w:hAnsi="Bookman Old Style"/>
                          <w:b/>
                          <w:bCs/>
                          <w:color w:val="000080"/>
                          <w:sz w:val="14"/>
                          <w:szCs w:val="14"/>
                        </w:rPr>
                      </w:pPr>
                      <w:bookmarkStart w:id="1" w:name="_GoBack"/>
                    </w:p>
                    <w:bookmarkEnd w:id="1"/>
                    <w:p w:rsidR="00BB22DE" w:rsidRDefault="00BB22DE" w:rsidP="00BB22DE">
                      <w:pPr>
                        <w:tabs>
                          <w:tab w:val="left" w:pos="0"/>
                        </w:tabs>
                        <w:jc w:val="center"/>
                        <w:rPr>
                          <w:rFonts w:ascii="Bookman Old Style" w:hAnsi="Bookman Old Style"/>
                          <w:b/>
                          <w:bCs/>
                          <w:color w:val="000080"/>
                          <w:sz w:val="14"/>
                          <w:szCs w:val="14"/>
                          <w:lang w:val="ru-RU"/>
                        </w:rPr>
                      </w:pPr>
                    </w:p>
                  </w:txbxContent>
                </v:textbox>
                <w10:wrap type="tight" anchorx="margin"/>
              </v:shape>
            </w:pict>
          </mc:Fallback>
        </mc:AlternateContent>
      </w:r>
      <w:r w:rsidRPr="00E776F0">
        <w:rPr>
          <w:rFonts w:ascii="Times New Roman" w:hAnsi="Times New Roman" w:cs="Times New Roman"/>
        </w:rPr>
        <w:t xml:space="preserve">Членовете на екип за изпълнение на инвестиция на КП, пряко ангажирани с тези дейности по съответната инвестиция, и служителите на ДНФ, СНД и СН подписват декларация за липса на конфликт на интереси по смисъла на чл. 61, параграф 3 от Регламент (ЕС, </w:t>
      </w:r>
      <w:proofErr w:type="spellStart"/>
      <w:r w:rsidRPr="00E776F0">
        <w:rPr>
          <w:rFonts w:ascii="Times New Roman" w:hAnsi="Times New Roman" w:cs="Times New Roman"/>
        </w:rPr>
        <w:t>Евратом</w:t>
      </w:r>
      <w:proofErr w:type="spellEnd"/>
      <w:r w:rsidRPr="00E776F0">
        <w:rPr>
          <w:rFonts w:ascii="Times New Roman" w:hAnsi="Times New Roman" w:cs="Times New Roman"/>
        </w:rPr>
        <w:t xml:space="preserve">) № 2018/1046 и чл. </w:t>
      </w:r>
      <w:r w:rsidR="00340DFA">
        <w:rPr>
          <w:rFonts w:ascii="Times New Roman" w:hAnsi="Times New Roman" w:cs="Times New Roman"/>
        </w:rPr>
        <w:t>70</w:t>
      </w:r>
      <w:r w:rsidRPr="00E776F0">
        <w:rPr>
          <w:rFonts w:ascii="Times New Roman" w:hAnsi="Times New Roman" w:cs="Times New Roman"/>
        </w:rPr>
        <w:t xml:space="preserve"> от Закона за противодействие на корупцията (ЗПК) (Приложение 15). Членовете на екипа/служителите подписват декларацията в 5-дневен срок от определянето им/назначаването им;</w:t>
      </w:r>
    </w:p>
    <w:p w14:paraId="4691E805" w14:textId="77777777" w:rsidR="00BB22DE" w:rsidRPr="00E776F0" w:rsidRDefault="00BB22DE" w:rsidP="00BB22DE">
      <w:pPr>
        <w:numPr>
          <w:ilvl w:val="0"/>
          <w:numId w:val="2"/>
        </w:numPr>
        <w:jc w:val="both"/>
        <w:rPr>
          <w:rFonts w:ascii="Times New Roman" w:hAnsi="Times New Roman" w:cs="Times New Roman"/>
        </w:rPr>
      </w:pPr>
      <w:r w:rsidRPr="00E776F0">
        <w:rPr>
          <w:rFonts w:ascii="Times New Roman" w:hAnsi="Times New Roman" w:cs="Times New Roman"/>
        </w:rPr>
        <w:t>В случай, че след първоначалното подписване на декларацията спрямо член на екипа/служител възникне ситуация, която може да повлияе на безпристрастното и обективно изпълнение на задълженията му, заинтересованото лице е длъжно да декларира тези обстоятелства в 3-дневен срок от узнаването им. Независимо от посоченото от момента на узнаване на обстоятелствата лицето трябва да се въздържа от действия, които могат да компрометират безпристрастното изпълнение на неговите служебни, трудови или договорни задължения. Незабавно от узнаване на обстоятелствата, които го поставят в конфликт на интереси, членът на екип/служителят трябва писмено да уведоми прекия си ръководител</w:t>
      </w:r>
      <w:bookmarkEnd w:id="0"/>
      <w:r w:rsidRPr="00E776F0">
        <w:rPr>
          <w:rFonts w:ascii="Times New Roman" w:hAnsi="Times New Roman" w:cs="Times New Roman"/>
        </w:rPr>
        <w:t>. Последният предприема действия служителя, декларирал възможен конфликт на интереси,</w:t>
      </w:r>
      <w:r w:rsidRPr="00E776F0">
        <w:rPr>
          <w:rFonts w:ascii="Times New Roman" w:hAnsi="Times New Roman" w:cs="Times New Roman"/>
          <w:i/>
        </w:rPr>
        <w:t xml:space="preserve"> </w:t>
      </w:r>
      <w:r w:rsidRPr="00E776F0">
        <w:rPr>
          <w:rFonts w:ascii="Times New Roman" w:hAnsi="Times New Roman" w:cs="Times New Roman"/>
        </w:rPr>
        <w:t>да прекрати всякаква дейност по въпроса, за който конфликта се отнася, и трябва да прецени необходимостта от заместване на лицето;</w:t>
      </w:r>
    </w:p>
    <w:p w14:paraId="667ED36B" w14:textId="77777777" w:rsidR="00BB22DE" w:rsidRPr="00E776F0" w:rsidRDefault="00BB22DE" w:rsidP="0032652A">
      <w:pPr>
        <w:numPr>
          <w:ilvl w:val="0"/>
          <w:numId w:val="2"/>
        </w:numPr>
        <w:jc w:val="both"/>
        <w:rPr>
          <w:rFonts w:ascii="Times New Roman" w:hAnsi="Times New Roman" w:cs="Times New Roman"/>
        </w:rPr>
      </w:pPr>
      <w:r w:rsidRPr="00E776F0">
        <w:rPr>
          <w:rFonts w:ascii="Times New Roman" w:hAnsi="Times New Roman" w:cs="Times New Roman"/>
        </w:rPr>
        <w:t xml:space="preserve">Декларациите за липса на конфликт на интереси и последващите за деклариране на възможен такъв се въвеждат в ИС на ПВУ от СНД/КП към всяка инвестиция преди подаване на първия ФТО и се съхраняват в съответната организация/административна структура. </w:t>
      </w:r>
    </w:p>
    <w:p w14:paraId="48222A8E" w14:textId="77777777" w:rsidR="00BB22DE" w:rsidRPr="00E776F0" w:rsidRDefault="00BB22DE" w:rsidP="00FE03CF">
      <w:pPr>
        <w:jc w:val="both"/>
        <w:rPr>
          <w:rFonts w:ascii="Times New Roman" w:hAnsi="Times New Roman" w:cs="Times New Roman"/>
        </w:rPr>
      </w:pPr>
    </w:p>
    <w:sectPr w:rsidR="00BB22DE" w:rsidRPr="00E776F0">
      <w:headerReference w:type="default" r:id="rId7"/>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96729" w16cex:dateUtc="2023-04-06T12:43:00Z"/>
  <w16cex:commentExtensible w16cex:durableId="27D96E87" w16cex:dateUtc="2023-04-06T13: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CC8624" w16cid:durableId="27D96729"/>
  <w16cid:commentId w16cid:paraId="0E41D2BC" w16cid:durableId="27D96E8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AF83E" w14:textId="77777777" w:rsidR="00BB22DE" w:rsidRDefault="00BB22DE" w:rsidP="00BB22DE">
      <w:pPr>
        <w:spacing w:after="0" w:line="240" w:lineRule="auto"/>
      </w:pPr>
      <w:r>
        <w:separator/>
      </w:r>
    </w:p>
  </w:endnote>
  <w:endnote w:type="continuationSeparator" w:id="0">
    <w:p w14:paraId="4DE5376A" w14:textId="77777777" w:rsidR="00BB22DE" w:rsidRDefault="00BB22DE" w:rsidP="00BB22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930CB" w14:textId="77777777" w:rsidR="00BB22DE" w:rsidRDefault="00BB22DE" w:rsidP="00BB22DE">
      <w:pPr>
        <w:spacing w:after="0" w:line="240" w:lineRule="auto"/>
      </w:pPr>
      <w:r>
        <w:separator/>
      </w:r>
    </w:p>
  </w:footnote>
  <w:footnote w:type="continuationSeparator" w:id="0">
    <w:p w14:paraId="4B248174" w14:textId="77777777" w:rsidR="00BB22DE" w:rsidRDefault="00BB22DE" w:rsidP="00BB22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86"/>
      <w:gridCol w:w="5245"/>
      <w:gridCol w:w="1417"/>
    </w:tblGrid>
    <w:tr w:rsidR="00BB22DE" w:rsidRPr="00BB22DE" w14:paraId="15A01B54" w14:textId="77777777" w:rsidTr="00BB22DE">
      <w:trPr>
        <w:jc w:val="center"/>
      </w:trPr>
      <w:tc>
        <w:tcPr>
          <w:tcW w:w="3186" w:type="dxa"/>
          <w:vAlign w:val="center"/>
        </w:tcPr>
        <w:p w14:paraId="2583F1CE" w14:textId="77777777" w:rsidR="00BB22DE" w:rsidRPr="00BB22DE" w:rsidRDefault="00BB22DE" w:rsidP="00BB22DE">
          <w:pPr>
            <w:spacing w:after="0" w:line="240" w:lineRule="auto"/>
            <w:jc w:val="center"/>
            <w:rPr>
              <w:rFonts w:ascii="Bookman Old Style" w:eastAsia="Times New Roman" w:hAnsi="Bookman Old Style" w:cs="Times New Roman"/>
              <w:b/>
              <w:color w:val="808080"/>
              <w:sz w:val="18"/>
              <w:szCs w:val="18"/>
              <w:lang w:val="en-GB" w:eastAsia="fr-FR"/>
            </w:rPr>
          </w:pPr>
          <w:proofErr w:type="spellStart"/>
          <w:r w:rsidRPr="00BB22DE">
            <w:rPr>
              <w:rFonts w:ascii="Bookman Old Style" w:eastAsia="Times New Roman" w:hAnsi="Bookman Old Style" w:cs="Times New Roman"/>
              <w:b/>
              <w:color w:val="808080"/>
              <w:sz w:val="18"/>
              <w:szCs w:val="18"/>
              <w:lang w:val="en-GB" w:eastAsia="fr-FR"/>
            </w:rPr>
            <w:t>Система</w:t>
          </w:r>
          <w:proofErr w:type="spellEnd"/>
          <w:r w:rsidRPr="00BB22DE">
            <w:rPr>
              <w:rFonts w:ascii="Bookman Old Style" w:eastAsia="Times New Roman" w:hAnsi="Bookman Old Style" w:cs="Times New Roman"/>
              <w:b/>
              <w:color w:val="808080"/>
              <w:sz w:val="18"/>
              <w:szCs w:val="18"/>
              <w:lang w:val="en-GB" w:eastAsia="fr-FR"/>
            </w:rPr>
            <w:t xml:space="preserve"> </w:t>
          </w:r>
          <w:proofErr w:type="spellStart"/>
          <w:r w:rsidRPr="00BB22DE">
            <w:rPr>
              <w:rFonts w:ascii="Bookman Old Style" w:eastAsia="Times New Roman" w:hAnsi="Bookman Old Style" w:cs="Times New Roman"/>
              <w:b/>
              <w:color w:val="808080"/>
              <w:sz w:val="18"/>
              <w:szCs w:val="18"/>
              <w:lang w:val="en-GB" w:eastAsia="fr-FR"/>
            </w:rPr>
            <w:t>за</w:t>
          </w:r>
          <w:proofErr w:type="spellEnd"/>
          <w:r w:rsidRPr="00BB22DE">
            <w:rPr>
              <w:rFonts w:ascii="Bookman Old Style" w:eastAsia="Times New Roman" w:hAnsi="Bookman Old Style" w:cs="Times New Roman"/>
              <w:b/>
              <w:color w:val="808080"/>
              <w:sz w:val="18"/>
              <w:szCs w:val="18"/>
              <w:lang w:val="en-GB" w:eastAsia="fr-FR"/>
            </w:rPr>
            <w:t xml:space="preserve"> </w:t>
          </w:r>
          <w:proofErr w:type="spellStart"/>
          <w:r w:rsidRPr="00BB22DE">
            <w:rPr>
              <w:rFonts w:ascii="Bookman Old Style" w:eastAsia="Times New Roman" w:hAnsi="Bookman Old Style" w:cs="Times New Roman"/>
              <w:b/>
              <w:color w:val="808080"/>
              <w:sz w:val="18"/>
              <w:szCs w:val="18"/>
              <w:lang w:val="en-GB" w:eastAsia="fr-FR"/>
            </w:rPr>
            <w:t>управление</w:t>
          </w:r>
          <w:proofErr w:type="spellEnd"/>
          <w:r w:rsidRPr="00BB22DE">
            <w:rPr>
              <w:rFonts w:ascii="Bookman Old Style" w:eastAsia="Times New Roman" w:hAnsi="Bookman Old Style" w:cs="Times New Roman"/>
              <w:b/>
              <w:color w:val="808080"/>
              <w:sz w:val="18"/>
              <w:szCs w:val="18"/>
              <w:lang w:val="en-GB" w:eastAsia="fr-FR"/>
            </w:rPr>
            <w:t xml:space="preserve"> и </w:t>
          </w:r>
          <w:proofErr w:type="spellStart"/>
          <w:r w:rsidRPr="00BB22DE">
            <w:rPr>
              <w:rFonts w:ascii="Bookman Old Style" w:eastAsia="Times New Roman" w:hAnsi="Bookman Old Style" w:cs="Times New Roman"/>
              <w:b/>
              <w:color w:val="808080"/>
              <w:sz w:val="18"/>
              <w:szCs w:val="18"/>
              <w:lang w:val="en-GB" w:eastAsia="fr-FR"/>
            </w:rPr>
            <w:t>контрол</w:t>
          </w:r>
          <w:proofErr w:type="spellEnd"/>
        </w:p>
      </w:tc>
      <w:tc>
        <w:tcPr>
          <w:tcW w:w="5245" w:type="dxa"/>
          <w:shd w:val="clear" w:color="auto" w:fill="E0E0E0"/>
          <w:vAlign w:val="center"/>
        </w:tcPr>
        <w:p w14:paraId="4FBBCA2E" w14:textId="1F5D6E55" w:rsidR="00F71265" w:rsidRDefault="00BB22DE" w:rsidP="00257C76">
          <w:pPr>
            <w:pStyle w:val="Header"/>
            <w:jc w:val="center"/>
            <w:rPr>
              <w:rFonts w:ascii="Bookman Old Style" w:eastAsia="Times New Roman" w:hAnsi="Bookman Old Style" w:cs="Times New Roman"/>
              <w:b/>
              <w:color w:val="808080"/>
              <w:sz w:val="18"/>
              <w:szCs w:val="18"/>
              <w:lang w:val="en-GB" w:eastAsia="fr-FR"/>
            </w:rPr>
          </w:pPr>
          <w:proofErr w:type="spellStart"/>
          <w:r w:rsidRPr="00BB22DE">
            <w:rPr>
              <w:rFonts w:ascii="Bookman Old Style" w:eastAsia="Times New Roman" w:hAnsi="Bookman Old Style" w:cs="Times New Roman"/>
              <w:b/>
              <w:color w:val="808080"/>
              <w:sz w:val="18"/>
              <w:szCs w:val="18"/>
              <w:lang w:val="en-GB" w:eastAsia="fr-FR"/>
            </w:rPr>
            <w:t>Приложение</w:t>
          </w:r>
          <w:proofErr w:type="spellEnd"/>
          <w:r w:rsidRPr="00BB22DE">
            <w:rPr>
              <w:rFonts w:ascii="Bookman Old Style" w:eastAsia="Times New Roman" w:hAnsi="Bookman Old Style" w:cs="Times New Roman"/>
              <w:b/>
              <w:color w:val="808080"/>
              <w:sz w:val="18"/>
              <w:szCs w:val="18"/>
              <w:lang w:val="en-GB" w:eastAsia="fr-FR"/>
            </w:rPr>
            <w:t xml:space="preserve"> 1</w:t>
          </w:r>
          <w:r w:rsidR="00FE03CF">
            <w:rPr>
              <w:rFonts w:ascii="Bookman Old Style" w:eastAsia="Times New Roman" w:hAnsi="Bookman Old Style" w:cs="Times New Roman"/>
              <w:b/>
              <w:color w:val="808080"/>
              <w:sz w:val="18"/>
              <w:szCs w:val="18"/>
              <w:lang w:eastAsia="fr-FR"/>
            </w:rPr>
            <w:t>6</w:t>
          </w:r>
          <w:r w:rsidRPr="00BB22DE">
            <w:rPr>
              <w:rFonts w:ascii="Bookman Old Style" w:eastAsia="Times New Roman" w:hAnsi="Bookman Old Style" w:cs="Times New Roman"/>
              <w:b/>
              <w:color w:val="808080"/>
              <w:sz w:val="18"/>
              <w:szCs w:val="18"/>
              <w:lang w:val="en-GB" w:eastAsia="fr-FR"/>
            </w:rPr>
            <w:t xml:space="preserve"> </w:t>
          </w:r>
        </w:p>
        <w:p w14:paraId="51E03A49" w14:textId="6B0BC03F" w:rsidR="00BB22DE" w:rsidRPr="007D2BE5" w:rsidRDefault="007D2BE5" w:rsidP="00257C76">
          <w:pPr>
            <w:pStyle w:val="Header"/>
            <w:jc w:val="center"/>
            <w:rPr>
              <w:rFonts w:ascii="Bookman Old Style" w:eastAsia="Times New Roman" w:hAnsi="Bookman Old Style" w:cs="Times New Roman"/>
              <w:b/>
              <w:color w:val="808080"/>
              <w:sz w:val="18"/>
              <w:szCs w:val="18"/>
              <w:lang w:eastAsia="fr-FR"/>
            </w:rPr>
          </w:pPr>
          <w:r>
            <w:rPr>
              <w:rFonts w:ascii="Bookman Old Style" w:eastAsia="Times New Roman" w:hAnsi="Bookman Old Style" w:cs="Times New Roman"/>
              <w:b/>
              <w:color w:val="808080"/>
              <w:sz w:val="18"/>
              <w:szCs w:val="18"/>
              <w:lang w:eastAsia="fr-FR"/>
            </w:rPr>
            <w:t>Ред за подписване на декларации Приложение 14 и Приложение 15</w:t>
          </w:r>
          <w:r w:rsidR="00BC3FE9">
            <w:rPr>
              <w:rFonts w:ascii="Bookman Old Style" w:eastAsia="Times New Roman" w:hAnsi="Bookman Old Style" w:cs="Times New Roman"/>
              <w:b/>
              <w:color w:val="808080"/>
              <w:sz w:val="18"/>
              <w:szCs w:val="18"/>
              <w:lang w:eastAsia="fr-FR"/>
            </w:rPr>
            <w:t xml:space="preserve"> от СУК</w:t>
          </w:r>
        </w:p>
      </w:tc>
      <w:tc>
        <w:tcPr>
          <w:tcW w:w="1417" w:type="dxa"/>
          <w:shd w:val="clear" w:color="auto" w:fill="E0E0E0"/>
          <w:vAlign w:val="center"/>
        </w:tcPr>
        <w:p w14:paraId="2228E32E" w14:textId="77777777" w:rsidR="00BB22DE" w:rsidRPr="00BB22DE" w:rsidRDefault="00BB22DE" w:rsidP="00BB22DE">
          <w:pPr>
            <w:pStyle w:val="Header"/>
            <w:rPr>
              <w:rFonts w:ascii="Bookman Old Style" w:eastAsia="Times New Roman" w:hAnsi="Bookman Old Style" w:cs="Times New Roman"/>
              <w:b/>
              <w:color w:val="808080"/>
              <w:sz w:val="18"/>
              <w:szCs w:val="18"/>
              <w:lang w:val="en-GB" w:eastAsia="fr-FR"/>
            </w:rPr>
          </w:pPr>
          <w:proofErr w:type="spellStart"/>
          <w:r w:rsidRPr="00BB22DE">
            <w:rPr>
              <w:rFonts w:ascii="Bookman Old Style" w:eastAsia="Times New Roman" w:hAnsi="Bookman Old Style" w:cs="Times New Roman"/>
              <w:b/>
              <w:color w:val="808080"/>
              <w:sz w:val="18"/>
              <w:szCs w:val="18"/>
              <w:lang w:val="en-GB" w:eastAsia="fr-FR"/>
            </w:rPr>
            <w:t>Раздел</w:t>
          </w:r>
          <w:proofErr w:type="spellEnd"/>
          <w:r w:rsidRPr="00BB22DE">
            <w:rPr>
              <w:rFonts w:ascii="Bookman Old Style" w:eastAsia="Times New Roman" w:hAnsi="Bookman Old Style" w:cs="Times New Roman"/>
              <w:b/>
              <w:color w:val="808080"/>
              <w:sz w:val="18"/>
              <w:szCs w:val="18"/>
              <w:lang w:val="en-GB" w:eastAsia="fr-FR"/>
            </w:rPr>
            <w:t xml:space="preserve"> 6</w:t>
          </w:r>
        </w:p>
      </w:tc>
    </w:tr>
    <w:tr w:rsidR="00A33BAA" w:rsidRPr="00BB22DE" w14:paraId="41079B49" w14:textId="77777777" w:rsidTr="00A00EB2">
      <w:trPr>
        <w:jc w:val="center"/>
      </w:trPr>
      <w:tc>
        <w:tcPr>
          <w:tcW w:w="3186" w:type="dxa"/>
        </w:tcPr>
        <w:p w14:paraId="3A452129" w14:textId="77777777" w:rsidR="00A33BAA" w:rsidRPr="00BB22DE" w:rsidRDefault="00A33BAA" w:rsidP="00BB22DE">
          <w:pPr>
            <w:spacing w:after="0" w:line="240" w:lineRule="auto"/>
            <w:jc w:val="center"/>
            <w:rPr>
              <w:rFonts w:ascii="Bookman Old Style" w:eastAsia="Times New Roman" w:hAnsi="Bookman Old Style" w:cs="Times New Roman"/>
              <w:b/>
              <w:color w:val="808080"/>
              <w:sz w:val="18"/>
              <w:szCs w:val="18"/>
              <w:lang w:val="en-GB" w:eastAsia="fr-FR"/>
            </w:rPr>
          </w:pPr>
          <w:proofErr w:type="spellStart"/>
          <w:r w:rsidRPr="00BB22DE">
            <w:rPr>
              <w:rFonts w:ascii="Bookman Old Style" w:eastAsia="Times New Roman" w:hAnsi="Bookman Old Style" w:cs="Times New Roman"/>
              <w:b/>
              <w:color w:val="808080"/>
              <w:sz w:val="18"/>
              <w:szCs w:val="18"/>
              <w:lang w:val="en-GB" w:eastAsia="fr-FR"/>
            </w:rPr>
            <w:t>Механизъм</w:t>
          </w:r>
          <w:proofErr w:type="spellEnd"/>
          <w:r w:rsidRPr="00BB22DE">
            <w:rPr>
              <w:rFonts w:ascii="Bookman Old Style" w:eastAsia="Times New Roman" w:hAnsi="Bookman Old Style" w:cs="Times New Roman"/>
              <w:b/>
              <w:color w:val="808080"/>
              <w:sz w:val="18"/>
              <w:szCs w:val="18"/>
              <w:lang w:val="en-GB" w:eastAsia="fr-FR"/>
            </w:rPr>
            <w:t xml:space="preserve"> </w:t>
          </w:r>
          <w:proofErr w:type="spellStart"/>
          <w:r w:rsidRPr="00BB22DE">
            <w:rPr>
              <w:rFonts w:ascii="Bookman Old Style" w:eastAsia="Times New Roman" w:hAnsi="Bookman Old Style" w:cs="Times New Roman"/>
              <w:b/>
              <w:color w:val="808080"/>
              <w:sz w:val="18"/>
              <w:szCs w:val="18"/>
              <w:lang w:val="en-GB" w:eastAsia="fr-FR"/>
            </w:rPr>
            <w:t>за</w:t>
          </w:r>
          <w:proofErr w:type="spellEnd"/>
          <w:r w:rsidRPr="00BB22DE">
            <w:rPr>
              <w:rFonts w:ascii="Bookman Old Style" w:eastAsia="Times New Roman" w:hAnsi="Bookman Old Style" w:cs="Times New Roman"/>
              <w:b/>
              <w:color w:val="808080"/>
              <w:sz w:val="18"/>
              <w:szCs w:val="18"/>
              <w:lang w:val="en-GB" w:eastAsia="fr-FR"/>
            </w:rPr>
            <w:t xml:space="preserve"> </w:t>
          </w:r>
          <w:proofErr w:type="spellStart"/>
          <w:r w:rsidRPr="00BB22DE">
            <w:rPr>
              <w:rFonts w:ascii="Bookman Old Style" w:eastAsia="Times New Roman" w:hAnsi="Bookman Old Style" w:cs="Times New Roman"/>
              <w:b/>
              <w:color w:val="808080"/>
              <w:sz w:val="18"/>
              <w:szCs w:val="18"/>
              <w:lang w:val="en-GB" w:eastAsia="fr-FR"/>
            </w:rPr>
            <w:t>възстановяване</w:t>
          </w:r>
          <w:proofErr w:type="spellEnd"/>
          <w:r w:rsidRPr="00BB22DE">
            <w:rPr>
              <w:rFonts w:ascii="Bookman Old Style" w:eastAsia="Times New Roman" w:hAnsi="Bookman Old Style" w:cs="Times New Roman"/>
              <w:b/>
              <w:color w:val="808080"/>
              <w:sz w:val="18"/>
              <w:szCs w:val="18"/>
              <w:lang w:val="en-GB" w:eastAsia="fr-FR"/>
            </w:rPr>
            <w:t xml:space="preserve"> и </w:t>
          </w:r>
          <w:proofErr w:type="spellStart"/>
          <w:r w:rsidRPr="00BB22DE">
            <w:rPr>
              <w:rFonts w:ascii="Bookman Old Style" w:eastAsia="Times New Roman" w:hAnsi="Bookman Old Style" w:cs="Times New Roman"/>
              <w:b/>
              <w:color w:val="808080"/>
              <w:sz w:val="18"/>
              <w:szCs w:val="18"/>
              <w:lang w:val="en-GB" w:eastAsia="fr-FR"/>
            </w:rPr>
            <w:t>устойчивост</w:t>
          </w:r>
          <w:proofErr w:type="spellEnd"/>
        </w:p>
      </w:tc>
      <w:tc>
        <w:tcPr>
          <w:tcW w:w="5245" w:type="dxa"/>
          <w:vAlign w:val="center"/>
        </w:tcPr>
        <w:p w14:paraId="2905C863" w14:textId="7CF7A595" w:rsidR="00A33BAA" w:rsidRPr="00BB22DE" w:rsidRDefault="00A33BAA" w:rsidP="00C03CA9">
          <w:pPr>
            <w:spacing w:after="0" w:line="240" w:lineRule="auto"/>
            <w:jc w:val="center"/>
            <w:rPr>
              <w:rFonts w:ascii="Bookman Old Style" w:eastAsia="Times New Roman" w:hAnsi="Bookman Old Style" w:cs="Times New Roman"/>
              <w:b/>
              <w:color w:val="808080"/>
              <w:sz w:val="18"/>
              <w:szCs w:val="18"/>
              <w:lang w:val="en-GB" w:eastAsia="fr-FR"/>
            </w:rPr>
          </w:pPr>
          <w:proofErr w:type="spellStart"/>
          <w:r w:rsidRPr="00BB22DE">
            <w:rPr>
              <w:rFonts w:ascii="Bookman Old Style" w:eastAsia="Times New Roman" w:hAnsi="Bookman Old Style" w:cs="Times New Roman"/>
              <w:b/>
              <w:color w:val="808080"/>
              <w:sz w:val="18"/>
              <w:szCs w:val="18"/>
              <w:lang w:val="en-GB" w:eastAsia="fr-FR"/>
            </w:rPr>
            <w:t>Версия</w:t>
          </w:r>
          <w:proofErr w:type="spellEnd"/>
          <w:r w:rsidRPr="00BB22DE">
            <w:rPr>
              <w:rFonts w:ascii="Bookman Old Style" w:eastAsia="Times New Roman" w:hAnsi="Bookman Old Style" w:cs="Times New Roman"/>
              <w:b/>
              <w:color w:val="808080"/>
              <w:sz w:val="18"/>
              <w:szCs w:val="18"/>
              <w:lang w:val="en-GB" w:eastAsia="fr-FR"/>
            </w:rPr>
            <w:t>: 2</w:t>
          </w:r>
        </w:p>
      </w:tc>
      <w:tc>
        <w:tcPr>
          <w:tcW w:w="1417" w:type="dxa"/>
          <w:vAlign w:val="center"/>
        </w:tcPr>
        <w:p w14:paraId="5DE54EA9" w14:textId="59F34557" w:rsidR="00A33BAA" w:rsidRPr="00BB22DE" w:rsidRDefault="00A33BAA" w:rsidP="00BB22DE">
          <w:pPr>
            <w:spacing w:after="0" w:line="240" w:lineRule="auto"/>
            <w:jc w:val="center"/>
            <w:rPr>
              <w:rFonts w:ascii="Bookman Old Style" w:eastAsia="Times New Roman" w:hAnsi="Bookman Old Style" w:cs="Times New Roman"/>
              <w:b/>
              <w:color w:val="808080"/>
              <w:sz w:val="18"/>
              <w:szCs w:val="18"/>
              <w:lang w:val="en-GB" w:eastAsia="fr-FR"/>
            </w:rPr>
          </w:pPr>
          <w:proofErr w:type="spellStart"/>
          <w:r w:rsidRPr="00BB22DE">
            <w:rPr>
              <w:rFonts w:ascii="Bookman Old Style" w:eastAsia="Times New Roman" w:hAnsi="Bookman Old Style" w:cs="Times New Roman"/>
              <w:b/>
              <w:color w:val="808080"/>
              <w:sz w:val="18"/>
              <w:szCs w:val="18"/>
              <w:lang w:val="en-GB" w:eastAsia="fr-FR"/>
            </w:rPr>
            <w:t>Стр</w:t>
          </w:r>
          <w:proofErr w:type="spellEnd"/>
          <w:r w:rsidRPr="00BB22DE">
            <w:rPr>
              <w:rFonts w:ascii="Bookman Old Style" w:eastAsia="Times New Roman" w:hAnsi="Bookman Old Style" w:cs="Times New Roman"/>
              <w:b/>
              <w:color w:val="808080"/>
              <w:sz w:val="18"/>
              <w:szCs w:val="18"/>
              <w:lang w:val="en-GB" w:eastAsia="fr-FR"/>
            </w:rPr>
            <w:t xml:space="preserve">. </w:t>
          </w:r>
          <w:r w:rsidRPr="00BB22DE">
            <w:rPr>
              <w:rFonts w:ascii="Bookman Old Style" w:eastAsia="Times New Roman" w:hAnsi="Bookman Old Style" w:cs="Times New Roman"/>
              <w:b/>
              <w:color w:val="808080"/>
              <w:sz w:val="18"/>
              <w:szCs w:val="18"/>
              <w:lang w:val="en-GB" w:eastAsia="fr-FR"/>
            </w:rPr>
            <w:fldChar w:fldCharType="begin"/>
          </w:r>
          <w:r w:rsidRPr="00BB22DE">
            <w:rPr>
              <w:rFonts w:ascii="Bookman Old Style" w:eastAsia="Times New Roman" w:hAnsi="Bookman Old Style" w:cs="Times New Roman"/>
              <w:b/>
              <w:color w:val="808080"/>
              <w:sz w:val="18"/>
              <w:szCs w:val="18"/>
              <w:lang w:val="en-GB" w:eastAsia="fr-FR"/>
            </w:rPr>
            <w:instrText xml:space="preserve"> PAGE  \* Arabic  \* MERGEFORMAT </w:instrText>
          </w:r>
          <w:r w:rsidRPr="00BB22DE">
            <w:rPr>
              <w:rFonts w:ascii="Bookman Old Style" w:eastAsia="Times New Roman" w:hAnsi="Bookman Old Style" w:cs="Times New Roman"/>
              <w:b/>
              <w:color w:val="808080"/>
              <w:sz w:val="18"/>
              <w:szCs w:val="18"/>
              <w:lang w:val="en-GB" w:eastAsia="fr-FR"/>
            </w:rPr>
            <w:fldChar w:fldCharType="separate"/>
          </w:r>
          <w:r w:rsidR="00C93243">
            <w:rPr>
              <w:rFonts w:ascii="Bookman Old Style" w:eastAsia="Times New Roman" w:hAnsi="Bookman Old Style" w:cs="Times New Roman"/>
              <w:b/>
              <w:noProof/>
              <w:color w:val="808080"/>
              <w:sz w:val="18"/>
              <w:szCs w:val="18"/>
              <w:lang w:val="en-GB" w:eastAsia="fr-FR"/>
            </w:rPr>
            <w:t>1</w:t>
          </w:r>
          <w:r w:rsidRPr="00BB22DE">
            <w:rPr>
              <w:rFonts w:ascii="Bookman Old Style" w:eastAsia="Times New Roman" w:hAnsi="Bookman Old Style" w:cs="Times New Roman"/>
              <w:b/>
              <w:color w:val="808080"/>
              <w:sz w:val="18"/>
              <w:szCs w:val="18"/>
              <w:lang w:val="en-GB" w:eastAsia="fr-FR"/>
            </w:rPr>
            <w:fldChar w:fldCharType="end"/>
          </w:r>
          <w:r w:rsidRPr="00BB22DE">
            <w:rPr>
              <w:rFonts w:ascii="Bookman Old Style" w:eastAsia="Times New Roman" w:hAnsi="Bookman Old Style" w:cs="Times New Roman"/>
              <w:b/>
              <w:color w:val="808080"/>
              <w:sz w:val="18"/>
              <w:szCs w:val="18"/>
              <w:lang w:val="en-GB" w:eastAsia="fr-FR"/>
            </w:rPr>
            <w:t xml:space="preserve"> / </w:t>
          </w:r>
          <w:r w:rsidRPr="00BB22DE">
            <w:rPr>
              <w:rFonts w:ascii="Bookman Old Style" w:eastAsia="Times New Roman" w:hAnsi="Bookman Old Style" w:cs="Times New Roman"/>
              <w:b/>
              <w:color w:val="808080"/>
              <w:sz w:val="18"/>
              <w:szCs w:val="18"/>
              <w:lang w:val="en-GB" w:eastAsia="fr-FR"/>
            </w:rPr>
            <w:fldChar w:fldCharType="begin"/>
          </w:r>
          <w:r w:rsidRPr="00BB22DE">
            <w:rPr>
              <w:rFonts w:ascii="Bookman Old Style" w:eastAsia="Times New Roman" w:hAnsi="Bookman Old Style" w:cs="Times New Roman"/>
              <w:b/>
              <w:color w:val="808080"/>
              <w:sz w:val="18"/>
              <w:szCs w:val="18"/>
              <w:lang w:val="en-GB" w:eastAsia="fr-FR"/>
            </w:rPr>
            <w:instrText xml:space="preserve"> NUMPAGES  \* Arabic  \* MERGEFORMAT </w:instrText>
          </w:r>
          <w:r w:rsidRPr="00BB22DE">
            <w:rPr>
              <w:rFonts w:ascii="Bookman Old Style" w:eastAsia="Times New Roman" w:hAnsi="Bookman Old Style" w:cs="Times New Roman"/>
              <w:b/>
              <w:color w:val="808080"/>
              <w:sz w:val="18"/>
              <w:szCs w:val="18"/>
              <w:lang w:val="en-GB" w:eastAsia="fr-FR"/>
            </w:rPr>
            <w:fldChar w:fldCharType="separate"/>
          </w:r>
          <w:r w:rsidR="00C93243">
            <w:rPr>
              <w:rFonts w:ascii="Bookman Old Style" w:eastAsia="Times New Roman" w:hAnsi="Bookman Old Style" w:cs="Times New Roman"/>
              <w:b/>
              <w:noProof/>
              <w:color w:val="808080"/>
              <w:sz w:val="18"/>
              <w:szCs w:val="18"/>
              <w:lang w:val="en-GB" w:eastAsia="fr-FR"/>
            </w:rPr>
            <w:t>1</w:t>
          </w:r>
          <w:r w:rsidRPr="00BB22DE">
            <w:rPr>
              <w:rFonts w:ascii="Bookman Old Style" w:eastAsia="Times New Roman" w:hAnsi="Bookman Old Style" w:cs="Times New Roman"/>
              <w:b/>
              <w:color w:val="808080"/>
              <w:sz w:val="18"/>
              <w:szCs w:val="18"/>
              <w:lang w:val="en-GB" w:eastAsia="fr-FR"/>
            </w:rPr>
            <w:fldChar w:fldCharType="end"/>
          </w:r>
        </w:p>
      </w:tc>
    </w:tr>
  </w:tbl>
  <w:p w14:paraId="5BDD1CF4" w14:textId="77777777" w:rsidR="00BB22DE" w:rsidRDefault="00BB22D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0529D4"/>
    <w:multiLevelType w:val="hybridMultilevel"/>
    <w:tmpl w:val="1E1427B8"/>
    <w:lvl w:ilvl="0" w:tplc="703045DE">
      <w:numFmt w:val="bullet"/>
      <w:lvlText w:val="-"/>
      <w:lvlJc w:val="left"/>
      <w:pPr>
        <w:ind w:left="1037" w:hanging="360"/>
      </w:pPr>
      <w:rPr>
        <w:rFonts w:ascii="Times New Roman" w:eastAsia="Times New Roman" w:hAnsi="Times New Roman" w:cs="Times New Roman" w:hint="default"/>
      </w:rPr>
    </w:lvl>
    <w:lvl w:ilvl="1" w:tplc="04020003" w:tentative="1">
      <w:start w:val="1"/>
      <w:numFmt w:val="bullet"/>
      <w:lvlText w:val="o"/>
      <w:lvlJc w:val="left"/>
      <w:pPr>
        <w:ind w:left="1757" w:hanging="360"/>
      </w:pPr>
      <w:rPr>
        <w:rFonts w:ascii="Courier New" w:hAnsi="Courier New" w:cs="Courier New" w:hint="default"/>
      </w:rPr>
    </w:lvl>
    <w:lvl w:ilvl="2" w:tplc="04020005" w:tentative="1">
      <w:start w:val="1"/>
      <w:numFmt w:val="bullet"/>
      <w:lvlText w:val=""/>
      <w:lvlJc w:val="left"/>
      <w:pPr>
        <w:ind w:left="2477" w:hanging="360"/>
      </w:pPr>
      <w:rPr>
        <w:rFonts w:ascii="Wingdings" w:hAnsi="Wingdings" w:hint="default"/>
      </w:rPr>
    </w:lvl>
    <w:lvl w:ilvl="3" w:tplc="04020001" w:tentative="1">
      <w:start w:val="1"/>
      <w:numFmt w:val="bullet"/>
      <w:lvlText w:val=""/>
      <w:lvlJc w:val="left"/>
      <w:pPr>
        <w:ind w:left="3197" w:hanging="360"/>
      </w:pPr>
      <w:rPr>
        <w:rFonts w:ascii="Symbol" w:hAnsi="Symbol" w:hint="default"/>
      </w:rPr>
    </w:lvl>
    <w:lvl w:ilvl="4" w:tplc="04020003" w:tentative="1">
      <w:start w:val="1"/>
      <w:numFmt w:val="bullet"/>
      <w:lvlText w:val="o"/>
      <w:lvlJc w:val="left"/>
      <w:pPr>
        <w:ind w:left="3917" w:hanging="360"/>
      </w:pPr>
      <w:rPr>
        <w:rFonts w:ascii="Courier New" w:hAnsi="Courier New" w:cs="Courier New" w:hint="default"/>
      </w:rPr>
    </w:lvl>
    <w:lvl w:ilvl="5" w:tplc="04020005" w:tentative="1">
      <w:start w:val="1"/>
      <w:numFmt w:val="bullet"/>
      <w:lvlText w:val=""/>
      <w:lvlJc w:val="left"/>
      <w:pPr>
        <w:ind w:left="4637" w:hanging="360"/>
      </w:pPr>
      <w:rPr>
        <w:rFonts w:ascii="Wingdings" w:hAnsi="Wingdings" w:hint="default"/>
      </w:rPr>
    </w:lvl>
    <w:lvl w:ilvl="6" w:tplc="04020001" w:tentative="1">
      <w:start w:val="1"/>
      <w:numFmt w:val="bullet"/>
      <w:lvlText w:val=""/>
      <w:lvlJc w:val="left"/>
      <w:pPr>
        <w:ind w:left="5357" w:hanging="360"/>
      </w:pPr>
      <w:rPr>
        <w:rFonts w:ascii="Symbol" w:hAnsi="Symbol" w:hint="default"/>
      </w:rPr>
    </w:lvl>
    <w:lvl w:ilvl="7" w:tplc="04020003" w:tentative="1">
      <w:start w:val="1"/>
      <w:numFmt w:val="bullet"/>
      <w:lvlText w:val="o"/>
      <w:lvlJc w:val="left"/>
      <w:pPr>
        <w:ind w:left="6077" w:hanging="360"/>
      </w:pPr>
      <w:rPr>
        <w:rFonts w:ascii="Courier New" w:hAnsi="Courier New" w:cs="Courier New" w:hint="default"/>
      </w:rPr>
    </w:lvl>
    <w:lvl w:ilvl="8" w:tplc="04020005" w:tentative="1">
      <w:start w:val="1"/>
      <w:numFmt w:val="bullet"/>
      <w:lvlText w:val=""/>
      <w:lvlJc w:val="left"/>
      <w:pPr>
        <w:ind w:left="6797" w:hanging="360"/>
      </w:pPr>
      <w:rPr>
        <w:rFonts w:ascii="Wingdings" w:hAnsi="Wingdings" w:hint="default"/>
      </w:rPr>
    </w:lvl>
  </w:abstractNum>
  <w:abstractNum w:abstractNumId="1" w15:restartNumberingAfterBreak="0">
    <w:nsid w:val="37806570"/>
    <w:multiLevelType w:val="hybridMultilevel"/>
    <w:tmpl w:val="72CC8D08"/>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 w15:restartNumberingAfterBreak="0">
    <w:nsid w:val="40764221"/>
    <w:multiLevelType w:val="hybridMultilevel"/>
    <w:tmpl w:val="61846DF0"/>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15:restartNumberingAfterBreak="0">
    <w:nsid w:val="52D620FD"/>
    <w:multiLevelType w:val="hybridMultilevel"/>
    <w:tmpl w:val="EF4CB7EE"/>
    <w:lvl w:ilvl="0" w:tplc="A2BEE488">
      <w:start w:val="1"/>
      <w:numFmt w:val="upperRoman"/>
      <w:lvlText w:val="%1."/>
      <w:lvlJc w:val="left"/>
      <w:pPr>
        <w:ind w:left="1931" w:hanging="720"/>
      </w:pPr>
      <w:rPr>
        <w:rFonts w:hint="default"/>
        <w:b/>
      </w:rPr>
    </w:lvl>
    <w:lvl w:ilvl="1" w:tplc="04020019" w:tentative="1">
      <w:start w:val="1"/>
      <w:numFmt w:val="lowerLetter"/>
      <w:lvlText w:val="%2."/>
      <w:lvlJc w:val="left"/>
      <w:pPr>
        <w:ind w:left="2291" w:hanging="360"/>
      </w:pPr>
    </w:lvl>
    <w:lvl w:ilvl="2" w:tplc="0402001B" w:tentative="1">
      <w:start w:val="1"/>
      <w:numFmt w:val="lowerRoman"/>
      <w:lvlText w:val="%3."/>
      <w:lvlJc w:val="right"/>
      <w:pPr>
        <w:ind w:left="3011" w:hanging="180"/>
      </w:pPr>
    </w:lvl>
    <w:lvl w:ilvl="3" w:tplc="0402000F" w:tentative="1">
      <w:start w:val="1"/>
      <w:numFmt w:val="decimal"/>
      <w:lvlText w:val="%4."/>
      <w:lvlJc w:val="left"/>
      <w:pPr>
        <w:ind w:left="3731" w:hanging="360"/>
      </w:pPr>
    </w:lvl>
    <w:lvl w:ilvl="4" w:tplc="04020019" w:tentative="1">
      <w:start w:val="1"/>
      <w:numFmt w:val="lowerLetter"/>
      <w:lvlText w:val="%5."/>
      <w:lvlJc w:val="left"/>
      <w:pPr>
        <w:ind w:left="4451" w:hanging="360"/>
      </w:pPr>
    </w:lvl>
    <w:lvl w:ilvl="5" w:tplc="0402001B" w:tentative="1">
      <w:start w:val="1"/>
      <w:numFmt w:val="lowerRoman"/>
      <w:lvlText w:val="%6."/>
      <w:lvlJc w:val="right"/>
      <w:pPr>
        <w:ind w:left="5171" w:hanging="180"/>
      </w:pPr>
    </w:lvl>
    <w:lvl w:ilvl="6" w:tplc="0402000F" w:tentative="1">
      <w:start w:val="1"/>
      <w:numFmt w:val="decimal"/>
      <w:lvlText w:val="%7."/>
      <w:lvlJc w:val="left"/>
      <w:pPr>
        <w:ind w:left="5891" w:hanging="360"/>
      </w:pPr>
    </w:lvl>
    <w:lvl w:ilvl="7" w:tplc="04020019" w:tentative="1">
      <w:start w:val="1"/>
      <w:numFmt w:val="lowerLetter"/>
      <w:lvlText w:val="%8."/>
      <w:lvlJc w:val="left"/>
      <w:pPr>
        <w:ind w:left="6611" w:hanging="360"/>
      </w:pPr>
    </w:lvl>
    <w:lvl w:ilvl="8" w:tplc="0402001B" w:tentative="1">
      <w:start w:val="1"/>
      <w:numFmt w:val="lowerRoman"/>
      <w:lvlText w:val="%9."/>
      <w:lvlJc w:val="right"/>
      <w:pPr>
        <w:ind w:left="7331" w:hanging="180"/>
      </w:pPr>
    </w:lvl>
  </w:abstractNum>
  <w:abstractNum w:abstractNumId="4" w15:restartNumberingAfterBreak="0">
    <w:nsid w:val="71D83741"/>
    <w:multiLevelType w:val="hybridMultilevel"/>
    <w:tmpl w:val="7578FEE0"/>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1DB"/>
    <w:rsid w:val="00043D85"/>
    <w:rsid w:val="002035A6"/>
    <w:rsid w:val="00257C76"/>
    <w:rsid w:val="003150E8"/>
    <w:rsid w:val="0032652A"/>
    <w:rsid w:val="00340DFA"/>
    <w:rsid w:val="003821DB"/>
    <w:rsid w:val="003A1706"/>
    <w:rsid w:val="003B33CA"/>
    <w:rsid w:val="00642250"/>
    <w:rsid w:val="006541C1"/>
    <w:rsid w:val="007D2BE5"/>
    <w:rsid w:val="007F3240"/>
    <w:rsid w:val="00853FE8"/>
    <w:rsid w:val="00A33BAA"/>
    <w:rsid w:val="00BA2188"/>
    <w:rsid w:val="00BB22DE"/>
    <w:rsid w:val="00BC3FE9"/>
    <w:rsid w:val="00C03CA9"/>
    <w:rsid w:val="00C93243"/>
    <w:rsid w:val="00D14367"/>
    <w:rsid w:val="00E5462E"/>
    <w:rsid w:val="00E776F0"/>
    <w:rsid w:val="00F71265"/>
    <w:rsid w:val="00FE03C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E6C736"/>
  <w15:chartTrackingRefBased/>
  <w15:docId w15:val="{0843E9FF-898D-43D9-8937-EF6E52080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22DE"/>
    <w:pPr>
      <w:tabs>
        <w:tab w:val="center" w:pos="4536"/>
        <w:tab w:val="right" w:pos="9072"/>
      </w:tabs>
      <w:spacing w:after="0" w:line="240" w:lineRule="auto"/>
    </w:pPr>
  </w:style>
  <w:style w:type="character" w:customStyle="1" w:styleId="HeaderChar">
    <w:name w:val="Header Char"/>
    <w:basedOn w:val="DefaultParagraphFont"/>
    <w:link w:val="Header"/>
    <w:uiPriority w:val="99"/>
    <w:rsid w:val="00BB22DE"/>
  </w:style>
  <w:style w:type="paragraph" w:styleId="Footer">
    <w:name w:val="footer"/>
    <w:basedOn w:val="Normal"/>
    <w:link w:val="FooterChar"/>
    <w:uiPriority w:val="99"/>
    <w:unhideWhenUsed/>
    <w:rsid w:val="00BB22DE"/>
    <w:pPr>
      <w:tabs>
        <w:tab w:val="center" w:pos="4536"/>
        <w:tab w:val="right" w:pos="9072"/>
      </w:tabs>
      <w:spacing w:after="0" w:line="240" w:lineRule="auto"/>
    </w:pPr>
  </w:style>
  <w:style w:type="character" w:customStyle="1" w:styleId="FooterChar">
    <w:name w:val="Footer Char"/>
    <w:basedOn w:val="DefaultParagraphFont"/>
    <w:link w:val="Footer"/>
    <w:uiPriority w:val="99"/>
    <w:rsid w:val="00BB22DE"/>
  </w:style>
  <w:style w:type="paragraph" w:styleId="ListParagraph">
    <w:name w:val="List Paragraph"/>
    <w:basedOn w:val="Normal"/>
    <w:uiPriority w:val="34"/>
    <w:qFormat/>
    <w:rsid w:val="0032652A"/>
    <w:pPr>
      <w:ind w:left="720"/>
      <w:contextualSpacing/>
    </w:pPr>
  </w:style>
  <w:style w:type="character" w:styleId="CommentReference">
    <w:name w:val="annotation reference"/>
    <w:basedOn w:val="DefaultParagraphFont"/>
    <w:uiPriority w:val="99"/>
    <w:semiHidden/>
    <w:unhideWhenUsed/>
    <w:rsid w:val="00D14367"/>
    <w:rPr>
      <w:sz w:val="16"/>
      <w:szCs w:val="16"/>
    </w:rPr>
  </w:style>
  <w:style w:type="paragraph" w:styleId="CommentText">
    <w:name w:val="annotation text"/>
    <w:basedOn w:val="Normal"/>
    <w:link w:val="CommentTextChar"/>
    <w:uiPriority w:val="99"/>
    <w:semiHidden/>
    <w:unhideWhenUsed/>
    <w:rsid w:val="00D14367"/>
    <w:pPr>
      <w:spacing w:line="240" w:lineRule="auto"/>
    </w:pPr>
    <w:rPr>
      <w:sz w:val="20"/>
      <w:szCs w:val="20"/>
    </w:rPr>
  </w:style>
  <w:style w:type="character" w:customStyle="1" w:styleId="CommentTextChar">
    <w:name w:val="Comment Text Char"/>
    <w:basedOn w:val="DefaultParagraphFont"/>
    <w:link w:val="CommentText"/>
    <w:uiPriority w:val="99"/>
    <w:semiHidden/>
    <w:rsid w:val="00D14367"/>
    <w:rPr>
      <w:sz w:val="20"/>
      <w:szCs w:val="20"/>
    </w:rPr>
  </w:style>
  <w:style w:type="paragraph" w:styleId="CommentSubject">
    <w:name w:val="annotation subject"/>
    <w:basedOn w:val="CommentText"/>
    <w:next w:val="CommentText"/>
    <w:link w:val="CommentSubjectChar"/>
    <w:uiPriority w:val="99"/>
    <w:semiHidden/>
    <w:unhideWhenUsed/>
    <w:rsid w:val="00D14367"/>
    <w:rPr>
      <w:b/>
      <w:bCs/>
    </w:rPr>
  </w:style>
  <w:style w:type="character" w:customStyle="1" w:styleId="CommentSubjectChar">
    <w:name w:val="Comment Subject Char"/>
    <w:basedOn w:val="CommentTextChar"/>
    <w:link w:val="CommentSubject"/>
    <w:uiPriority w:val="99"/>
    <w:semiHidden/>
    <w:rsid w:val="00D14367"/>
    <w:rPr>
      <w:b/>
      <w:bCs/>
      <w:sz w:val="20"/>
      <w:szCs w:val="20"/>
    </w:rPr>
  </w:style>
  <w:style w:type="paragraph" w:styleId="BalloonText">
    <w:name w:val="Balloon Text"/>
    <w:basedOn w:val="Normal"/>
    <w:link w:val="BalloonTextChar"/>
    <w:uiPriority w:val="99"/>
    <w:semiHidden/>
    <w:unhideWhenUsed/>
    <w:rsid w:val="00FE03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03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Words>
  <Characters>1968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Ministry Of Finance</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Антоанета Арсенова</dc:creator>
  <cp:keywords/>
  <dc:description/>
  <cp:lastModifiedBy>Антоанета Арсенова</cp:lastModifiedBy>
  <cp:revision>3</cp:revision>
  <dcterms:created xsi:type="dcterms:W3CDTF">2024-09-11T12:56:00Z</dcterms:created>
  <dcterms:modified xsi:type="dcterms:W3CDTF">2024-09-11T12:56:00Z</dcterms:modified>
</cp:coreProperties>
</file>