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150A6" w14:textId="77777777" w:rsidR="009E3B65" w:rsidRPr="009E3B65" w:rsidRDefault="009E3B65" w:rsidP="009E3B65">
      <w:pPr>
        <w:spacing w:before="120" w:after="0" w:line="240" w:lineRule="auto"/>
        <w:ind w:firstLine="720"/>
        <w:jc w:val="both"/>
        <w:rPr>
          <w:rFonts w:ascii="Times New Roman" w:eastAsia="Times New Roman" w:hAnsi="Times New Roman" w:cs="Times New Roman"/>
          <w:sz w:val="24"/>
          <w:szCs w:val="24"/>
          <w:lang w:eastAsia="bg-BG"/>
        </w:rPr>
      </w:pPr>
      <w:bookmarkStart w:id="0" w:name="_Toc107500340"/>
      <w:r w:rsidRPr="009E3B65">
        <w:rPr>
          <w:rFonts w:ascii="Times New Roman" w:eastAsia="Times New Roman" w:hAnsi="Times New Roman" w:cs="Times New Roman"/>
          <w:sz w:val="24"/>
          <w:szCs w:val="24"/>
          <w:lang w:eastAsia="bg-BG"/>
        </w:rPr>
        <w:t xml:space="preserve">Съгласно чл. 22 от Регламент № (ЕС) 2021/241 на Европейския парламент и на Съвета държавите членки предприемат всички подходящи мерки, за да защитават финансовите интереси на Съюза и за да гарантират, че използването на средствата във връзка с мерките, получаващи подкрепа от Механизма, е съобразено с приложимото право на Съюза и с националното право, по-специално по отношение на предотвратяването, разкриването и коригирането на измами, корупция и конфликт на интереси. За тази цел държавите членки предвиждат ефективна и ефикасна система за вътрешен контрол и възстановяването на неправомерно изплатени или неправилно използвани суми. </w:t>
      </w:r>
    </w:p>
    <w:p w14:paraId="49CFAB46" w14:textId="77777777" w:rsidR="009E3B65" w:rsidRPr="009E3B65" w:rsidRDefault="009E3B65" w:rsidP="009E3B65">
      <w:pPr>
        <w:spacing w:before="120" w:after="0" w:line="240" w:lineRule="auto"/>
        <w:ind w:firstLine="720"/>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 xml:space="preserve">Един от способите за превенция на риска от корупция, измами и конфликт на интереси е спазването на приложимото законодателство в една от най-чувствителните сфери – възлагане на обществени поръчки. Най-подходящо за тази цел е извършването на предварителен контрол в процеса на провеждане на процедурите за обществени поръчки, както и последващ контрол след провеждане на процедурата. Така се гарантира законосъобразност при възлагане на обществените поръчки със средства от Механизма. </w:t>
      </w:r>
    </w:p>
    <w:p w14:paraId="3EEA7465" w14:textId="77777777" w:rsidR="009E3B65" w:rsidRPr="009E3B65" w:rsidRDefault="009E3B65" w:rsidP="009E3B65">
      <w:pPr>
        <w:spacing w:before="120" w:after="0" w:line="240" w:lineRule="auto"/>
        <w:ind w:firstLine="720"/>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Предвиденият предварителен и последващ контрол се извършва от СНД</w:t>
      </w:r>
      <w:r w:rsidR="007B05CC">
        <w:rPr>
          <w:rFonts w:ascii="Times New Roman" w:eastAsia="Times New Roman" w:hAnsi="Times New Roman" w:cs="Times New Roman"/>
          <w:sz w:val="24"/>
          <w:szCs w:val="24"/>
          <w:lang w:eastAsia="bg-BG"/>
        </w:rPr>
        <w:t>/ДНФ</w:t>
      </w:r>
      <w:r w:rsidRPr="009E3B65">
        <w:rPr>
          <w:rFonts w:ascii="Times New Roman" w:eastAsia="Times New Roman" w:hAnsi="Times New Roman" w:cs="Times New Roman"/>
          <w:sz w:val="24"/>
          <w:szCs w:val="24"/>
          <w:lang w:eastAsia="bg-BG"/>
        </w:rPr>
        <w:t xml:space="preserve"> без да се засяга отговорността на възложителя. Възложителят е отговорен да спазва ЗОП и приложимото законодателство при възлагане на процедурата и при изпълнение на сключения договор.</w:t>
      </w:r>
    </w:p>
    <w:p w14:paraId="438029F9" w14:textId="77777777" w:rsidR="009E3B65" w:rsidRPr="009E3B65" w:rsidRDefault="009E3B65" w:rsidP="009E3B65">
      <w:pPr>
        <w:spacing w:before="120" w:after="0" w:line="240" w:lineRule="auto"/>
        <w:ind w:firstLine="720"/>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За надеждното осъществяване на предварителен и последващ контрол от особена важност е осигуряването на разделение на отговорностите.</w:t>
      </w:r>
      <w:r w:rsidR="00CF3AB9" w:rsidRPr="00CF3AB9">
        <w:rPr>
          <w:rFonts w:ascii="Times New Roman" w:eastAsia="Times New Roman" w:hAnsi="Times New Roman" w:cs="Times New Roman"/>
          <w:sz w:val="24"/>
          <w:szCs w:val="24"/>
          <w:lang w:eastAsia="bg-BG"/>
        </w:rPr>
        <w:t xml:space="preserve"> Лицата, отговорни за извършване на предварителен и последващ контрол, трябва да са независими при осъществяване на своите функции. Лице, извършило предварителен контрол на даден етап от процедура за възлагане, не може да извършва последващия контрол на същата процедура.</w:t>
      </w:r>
    </w:p>
    <w:p w14:paraId="26D702C9" w14:textId="77777777" w:rsidR="009E3B65" w:rsidRPr="009E3B65" w:rsidRDefault="006051A0" w:rsidP="009E3B65">
      <w:pPr>
        <w:spacing w:before="120" w:after="0" w:line="240" w:lineRule="auto"/>
        <w:ind w:firstLine="720"/>
        <w:jc w:val="both"/>
        <w:rPr>
          <w:rFonts w:ascii="Times New Roman" w:eastAsia="Times New Roman" w:hAnsi="Times New Roman" w:cs="Times New Roman"/>
          <w:sz w:val="24"/>
          <w:szCs w:val="24"/>
          <w:lang w:eastAsia="bg-BG"/>
        </w:rPr>
      </w:pPr>
      <w:r w:rsidRPr="0029591B">
        <w:rPr>
          <w:rFonts w:ascii="Times New Roman" w:eastAsia="Times New Roman" w:hAnsi="Times New Roman" w:cs="Times New Roman"/>
          <w:b/>
          <w:sz w:val="24"/>
          <w:szCs w:val="24"/>
          <w:lang w:eastAsia="bg-BG"/>
        </w:rPr>
        <w:t>1.</w:t>
      </w:r>
      <w:r>
        <w:rPr>
          <w:rFonts w:ascii="Times New Roman" w:eastAsia="Times New Roman" w:hAnsi="Times New Roman" w:cs="Times New Roman"/>
          <w:sz w:val="24"/>
          <w:szCs w:val="24"/>
          <w:lang w:eastAsia="bg-BG"/>
        </w:rPr>
        <w:t xml:space="preserve"> </w:t>
      </w:r>
      <w:r w:rsidR="009E3B65" w:rsidRPr="0029591B">
        <w:rPr>
          <w:rFonts w:ascii="Times New Roman" w:eastAsia="Times New Roman" w:hAnsi="Times New Roman" w:cs="Times New Roman"/>
          <w:b/>
          <w:sz w:val="24"/>
          <w:szCs w:val="24"/>
          <w:lang w:eastAsia="bg-BG"/>
        </w:rPr>
        <w:t>Предварителн</w:t>
      </w:r>
      <w:r w:rsidRPr="0029591B">
        <w:rPr>
          <w:rFonts w:ascii="Times New Roman" w:eastAsia="Times New Roman" w:hAnsi="Times New Roman" w:cs="Times New Roman"/>
          <w:b/>
          <w:sz w:val="24"/>
          <w:szCs w:val="24"/>
          <w:lang w:eastAsia="bg-BG"/>
        </w:rPr>
        <w:t>ия</w:t>
      </w:r>
      <w:r w:rsidR="009E3B65" w:rsidRPr="0029591B">
        <w:rPr>
          <w:rFonts w:ascii="Times New Roman" w:eastAsia="Times New Roman" w:hAnsi="Times New Roman" w:cs="Times New Roman"/>
          <w:b/>
          <w:sz w:val="24"/>
          <w:szCs w:val="24"/>
          <w:lang w:eastAsia="bg-BG"/>
        </w:rPr>
        <w:t xml:space="preserve"> контрол </w:t>
      </w:r>
      <w:r w:rsidR="00FC6CAB" w:rsidRPr="0029591B">
        <w:rPr>
          <w:rFonts w:ascii="Times New Roman" w:eastAsia="Times New Roman" w:hAnsi="Times New Roman" w:cs="Times New Roman"/>
          <w:b/>
          <w:sz w:val="24"/>
          <w:szCs w:val="24"/>
          <w:lang w:eastAsia="bg-BG"/>
        </w:rPr>
        <w:t xml:space="preserve">обхваща процедури, чиито стойности са по-големи или равни на посочените в чл. 20, ал. 1 от ЗОП  и </w:t>
      </w:r>
      <w:r w:rsidR="009E3B65" w:rsidRPr="0029591B">
        <w:rPr>
          <w:rFonts w:ascii="Times New Roman" w:eastAsia="Times New Roman" w:hAnsi="Times New Roman" w:cs="Times New Roman"/>
          <w:b/>
          <w:sz w:val="24"/>
          <w:szCs w:val="24"/>
          <w:lang w:eastAsia="bg-BG"/>
        </w:rPr>
        <w:t>се извършва на:</w:t>
      </w:r>
      <w:r w:rsidR="009E3B65" w:rsidRPr="009E3B65" w:rsidDel="00C13C58">
        <w:rPr>
          <w:rFonts w:ascii="Times New Roman" w:eastAsia="Times New Roman" w:hAnsi="Times New Roman" w:cs="Times New Roman"/>
          <w:sz w:val="24"/>
          <w:szCs w:val="24"/>
          <w:lang w:eastAsia="bg-BG"/>
        </w:rPr>
        <w:t xml:space="preserve">  </w:t>
      </w:r>
    </w:p>
    <w:p w14:paraId="21929DE1" w14:textId="77777777" w:rsidR="009E3B65" w:rsidRPr="009E3B65" w:rsidRDefault="009E3B65" w:rsidP="009E3B65">
      <w:pPr>
        <w:spacing w:before="120" w:after="0" w:line="240" w:lineRule="auto"/>
        <w:jc w:val="both"/>
        <w:rPr>
          <w:rFonts w:ascii="Times New Roman" w:eastAsia="Times New Roman" w:hAnsi="Times New Roman" w:cs="Times New Roman"/>
          <w:sz w:val="24"/>
          <w:szCs w:val="24"/>
          <w:lang w:eastAsia="bg-BG"/>
        </w:rPr>
      </w:pPr>
    </w:p>
    <w:tbl>
      <w:tblPr>
        <w:tblStyle w:val="TableGrid21"/>
        <w:tblW w:w="9209" w:type="dxa"/>
        <w:tblLook w:val="01E0" w:firstRow="1" w:lastRow="1" w:firstColumn="1" w:lastColumn="1" w:noHBand="0" w:noVBand="0"/>
      </w:tblPr>
      <w:tblGrid>
        <w:gridCol w:w="2773"/>
        <w:gridCol w:w="6436"/>
      </w:tblGrid>
      <w:tr w:rsidR="009E3B65" w:rsidRPr="009E3B65" w14:paraId="39A2E120" w14:textId="77777777" w:rsidTr="00942DA9">
        <w:tc>
          <w:tcPr>
            <w:tcW w:w="2773" w:type="dxa"/>
            <w:vAlign w:val="center"/>
          </w:tcPr>
          <w:p w14:paraId="10BF97CF" w14:textId="77777777" w:rsidR="009E3B65" w:rsidRPr="009E3B65" w:rsidRDefault="009E3B65" w:rsidP="009E3B65">
            <w:pPr>
              <w:jc w:val="center"/>
              <w:rPr>
                <w:rFonts w:eastAsia="ArialNarrow"/>
                <w:b/>
                <w:sz w:val="24"/>
                <w:szCs w:val="24"/>
                <w:lang w:val="en-US"/>
              </w:rPr>
            </w:pPr>
            <w:r w:rsidRPr="009E3B65">
              <w:rPr>
                <w:rFonts w:eastAsia="ArialNarrow"/>
                <w:b/>
                <w:sz w:val="24"/>
                <w:szCs w:val="24"/>
              </w:rPr>
              <w:t>Основание за провеждане на обществена поръчка</w:t>
            </w:r>
          </w:p>
        </w:tc>
        <w:tc>
          <w:tcPr>
            <w:tcW w:w="6436" w:type="dxa"/>
          </w:tcPr>
          <w:p w14:paraId="212F963A" w14:textId="77777777" w:rsidR="009E3B65" w:rsidRPr="009E3B65" w:rsidRDefault="009E3B65" w:rsidP="009E3B65">
            <w:pPr>
              <w:jc w:val="center"/>
              <w:rPr>
                <w:rFonts w:eastAsia="ArialNarrow"/>
                <w:b/>
                <w:sz w:val="24"/>
                <w:szCs w:val="24"/>
                <w:lang w:val="en-US"/>
              </w:rPr>
            </w:pPr>
            <w:r w:rsidRPr="009E3B65">
              <w:rPr>
                <w:rFonts w:eastAsia="ArialNarrow"/>
                <w:b/>
                <w:sz w:val="24"/>
                <w:szCs w:val="24"/>
              </w:rPr>
              <w:t>Обект на проверка</w:t>
            </w:r>
          </w:p>
        </w:tc>
      </w:tr>
      <w:tr w:rsidR="009E3B65" w:rsidRPr="009E3B65" w14:paraId="71059B0E" w14:textId="77777777" w:rsidTr="00942DA9">
        <w:trPr>
          <w:trHeight w:val="476"/>
        </w:trPr>
        <w:tc>
          <w:tcPr>
            <w:tcW w:w="2773" w:type="dxa"/>
            <w:vMerge w:val="restart"/>
            <w:vAlign w:val="center"/>
          </w:tcPr>
          <w:p w14:paraId="38A348FD" w14:textId="77777777" w:rsidR="009E3B65" w:rsidRPr="009E3B65" w:rsidRDefault="009E3B65" w:rsidP="009E3B65">
            <w:pPr>
              <w:jc w:val="center"/>
              <w:rPr>
                <w:rFonts w:eastAsia="ArialNarrow"/>
                <w:sz w:val="24"/>
                <w:szCs w:val="24"/>
                <w:lang w:val="en-US"/>
              </w:rPr>
            </w:pPr>
            <w:r w:rsidRPr="009E3B65">
              <w:rPr>
                <w:rFonts w:eastAsia="ArialNarrow"/>
                <w:sz w:val="24"/>
                <w:szCs w:val="24"/>
              </w:rPr>
              <w:t>ЗОП</w:t>
            </w:r>
          </w:p>
        </w:tc>
        <w:tc>
          <w:tcPr>
            <w:tcW w:w="6436" w:type="dxa"/>
            <w:vMerge w:val="restart"/>
          </w:tcPr>
          <w:p w14:paraId="6B33ECDF" w14:textId="708A6744" w:rsidR="009E3B65" w:rsidRPr="009E3B65" w:rsidRDefault="00D74361" w:rsidP="009E3B65">
            <w:pPr>
              <w:numPr>
                <w:ilvl w:val="0"/>
                <w:numId w:val="4"/>
              </w:numPr>
              <w:tabs>
                <w:tab w:val="num" w:pos="41"/>
                <w:tab w:val="left" w:pos="221"/>
              </w:tabs>
              <w:ind w:left="221" w:hanging="180"/>
              <w:rPr>
                <w:rFonts w:eastAsia="ArialNarrow"/>
                <w:sz w:val="24"/>
                <w:szCs w:val="24"/>
                <w:lang w:val="en-US"/>
              </w:rPr>
            </w:pPr>
            <w:r>
              <w:rPr>
                <w:rFonts w:eastAsia="ArialNarrow"/>
                <w:sz w:val="24"/>
                <w:szCs w:val="24"/>
              </w:rPr>
              <w:t xml:space="preserve"> Р</w:t>
            </w:r>
            <w:r w:rsidRPr="00D74361">
              <w:rPr>
                <w:rFonts w:eastAsia="ArialNarrow"/>
                <w:sz w:val="24"/>
                <w:szCs w:val="24"/>
              </w:rPr>
              <w:t xml:space="preserve">ешението за откриване на процедура за възлагане на обществена поръчка, </w:t>
            </w:r>
            <w:proofErr w:type="spellStart"/>
            <w:r w:rsidRPr="00D74361">
              <w:rPr>
                <w:rFonts w:eastAsia="ArialNarrow"/>
                <w:sz w:val="24"/>
                <w:szCs w:val="24"/>
                <w:lang w:val="en-US"/>
              </w:rPr>
              <w:t>обявлението</w:t>
            </w:r>
            <w:proofErr w:type="spellEnd"/>
            <w:r w:rsidRPr="00D74361">
              <w:rPr>
                <w:rFonts w:eastAsia="ArialNarrow"/>
                <w:sz w:val="24"/>
                <w:szCs w:val="24"/>
                <w:lang w:val="en-US"/>
              </w:rPr>
              <w:t xml:space="preserve"> и </w:t>
            </w:r>
            <w:r>
              <w:rPr>
                <w:rFonts w:eastAsia="ArialNarrow"/>
                <w:sz w:val="24"/>
                <w:szCs w:val="24"/>
              </w:rPr>
              <w:t>д</w:t>
            </w:r>
            <w:r w:rsidR="009E3B65" w:rsidRPr="009E3B65">
              <w:rPr>
                <w:rFonts w:eastAsia="ArialNarrow"/>
                <w:sz w:val="24"/>
                <w:szCs w:val="24"/>
              </w:rPr>
              <w:t xml:space="preserve">окументация за участие в обществена поръчка </w:t>
            </w:r>
            <w:r w:rsidR="009E3B65" w:rsidRPr="009E3B65">
              <w:rPr>
                <w:rFonts w:eastAsia="ArialNarrow"/>
                <w:b/>
                <w:sz w:val="24"/>
                <w:szCs w:val="24"/>
              </w:rPr>
              <w:t>с изключение на случаите, в които АОП извършва контрол по реда чл. 229, ал. 1, т. 2 букв</w:t>
            </w:r>
            <w:r w:rsidR="00235B11">
              <w:rPr>
                <w:rFonts w:eastAsia="ArialNarrow"/>
                <w:b/>
                <w:sz w:val="24"/>
                <w:szCs w:val="24"/>
              </w:rPr>
              <w:t>и</w:t>
            </w:r>
            <w:r w:rsidR="009E3B65" w:rsidRPr="009E3B65">
              <w:rPr>
                <w:rFonts w:eastAsia="ArialNarrow"/>
                <w:b/>
                <w:sz w:val="24"/>
                <w:szCs w:val="24"/>
              </w:rPr>
              <w:t xml:space="preserve"> „г“</w:t>
            </w:r>
            <w:r w:rsidR="00235B11">
              <w:rPr>
                <w:rFonts w:eastAsia="ArialNarrow"/>
                <w:b/>
                <w:sz w:val="24"/>
                <w:szCs w:val="24"/>
              </w:rPr>
              <w:t xml:space="preserve"> и „ж“</w:t>
            </w:r>
            <w:r w:rsidR="009E3B65" w:rsidRPr="009E3B65">
              <w:rPr>
                <w:rFonts w:eastAsia="ArialNarrow"/>
                <w:b/>
                <w:sz w:val="24"/>
                <w:szCs w:val="24"/>
              </w:rPr>
              <w:t xml:space="preserve"> от ЗОП</w:t>
            </w:r>
            <w:r w:rsidR="009E3B65" w:rsidRPr="009E3B65">
              <w:rPr>
                <w:rFonts w:eastAsia="ArialNarrow"/>
                <w:sz w:val="24"/>
                <w:szCs w:val="24"/>
              </w:rPr>
              <w:t>.</w:t>
            </w:r>
          </w:p>
          <w:p w14:paraId="4213147B" w14:textId="1080673A" w:rsidR="009E3B65" w:rsidRPr="009E3B65" w:rsidRDefault="00D74361" w:rsidP="009E3B65">
            <w:pPr>
              <w:numPr>
                <w:ilvl w:val="0"/>
                <w:numId w:val="4"/>
              </w:numPr>
              <w:tabs>
                <w:tab w:val="left" w:pos="221"/>
              </w:tabs>
              <w:rPr>
                <w:rFonts w:eastAsia="ArialNarrow"/>
                <w:sz w:val="24"/>
                <w:szCs w:val="24"/>
                <w:lang w:val="en-US"/>
              </w:rPr>
            </w:pPr>
            <w:r>
              <w:rPr>
                <w:rFonts w:eastAsia="ArialNarrow"/>
                <w:sz w:val="24"/>
                <w:szCs w:val="24"/>
              </w:rPr>
              <w:t>Проект за и</w:t>
            </w:r>
            <w:r w:rsidRPr="009E3B65">
              <w:rPr>
                <w:rFonts w:eastAsia="ArialNarrow"/>
                <w:sz w:val="24"/>
                <w:szCs w:val="24"/>
              </w:rPr>
              <w:t xml:space="preserve">зменение </w:t>
            </w:r>
            <w:r w:rsidR="009E3B65" w:rsidRPr="009E3B65">
              <w:rPr>
                <w:rFonts w:eastAsia="ArialNarrow"/>
                <w:sz w:val="24"/>
                <w:szCs w:val="24"/>
              </w:rPr>
              <w:t xml:space="preserve">на сключен договор </w:t>
            </w:r>
            <w:r>
              <w:rPr>
                <w:rFonts w:eastAsia="ArialNarrow"/>
                <w:sz w:val="24"/>
                <w:szCs w:val="24"/>
              </w:rPr>
              <w:t xml:space="preserve">за обществена поръчка </w:t>
            </w:r>
            <w:r w:rsidR="009E3B65" w:rsidRPr="009E3B65">
              <w:rPr>
                <w:rFonts w:eastAsia="ArialNarrow"/>
                <w:b/>
                <w:sz w:val="24"/>
                <w:szCs w:val="24"/>
              </w:rPr>
              <w:t>с изключение на случаите, в които АОП извършва контрол по реда на чл. 229, ал. 1, т. 2, буква „е“ във връзка с чл. 235 от ЗОП.</w:t>
            </w:r>
          </w:p>
        </w:tc>
      </w:tr>
      <w:tr w:rsidR="009E3B65" w:rsidRPr="009E3B65" w14:paraId="7B5871A0" w14:textId="77777777" w:rsidTr="00942DA9">
        <w:trPr>
          <w:trHeight w:val="476"/>
        </w:trPr>
        <w:tc>
          <w:tcPr>
            <w:tcW w:w="2773" w:type="dxa"/>
            <w:vMerge/>
          </w:tcPr>
          <w:p w14:paraId="7F1A6942" w14:textId="77777777" w:rsidR="009E3B65" w:rsidRPr="009E3B65" w:rsidRDefault="009E3B65" w:rsidP="009E3B65">
            <w:pPr>
              <w:rPr>
                <w:rFonts w:eastAsia="ArialNarrow"/>
                <w:sz w:val="24"/>
                <w:szCs w:val="24"/>
                <w:lang w:val="en-US"/>
              </w:rPr>
            </w:pPr>
          </w:p>
        </w:tc>
        <w:tc>
          <w:tcPr>
            <w:tcW w:w="6436" w:type="dxa"/>
            <w:vMerge/>
          </w:tcPr>
          <w:p w14:paraId="33450EE0" w14:textId="77777777" w:rsidR="009E3B65" w:rsidRPr="009E3B65" w:rsidRDefault="009E3B65" w:rsidP="009E3B65">
            <w:pPr>
              <w:rPr>
                <w:rFonts w:eastAsia="ArialNarrow"/>
                <w:sz w:val="24"/>
                <w:szCs w:val="24"/>
                <w:lang w:val="en-US"/>
              </w:rPr>
            </w:pPr>
          </w:p>
        </w:tc>
      </w:tr>
    </w:tbl>
    <w:p w14:paraId="0B0C078E" w14:textId="47D9605F" w:rsidR="009D07E3" w:rsidRDefault="00CE3EFF" w:rsidP="009E3B65">
      <w:pPr>
        <w:spacing w:before="120" w:after="100" w:afterAutospacing="1" w:line="240" w:lineRule="auto"/>
        <w:ind w:firstLine="709"/>
        <w:jc w:val="both"/>
        <w:rPr>
          <w:rFonts w:ascii="Times New Roman" w:eastAsia="Calibri" w:hAnsi="Times New Roman" w:cs="Times New Roman"/>
          <w:sz w:val="24"/>
          <w:szCs w:val="24"/>
        </w:rPr>
      </w:pPr>
      <w:r w:rsidRPr="00C82470">
        <w:rPr>
          <w:rFonts w:ascii="Times New Roman" w:eastAsia="Times New Roman" w:hAnsi="Times New Roman" w:cs="Times New Roman"/>
          <w:sz w:val="24"/>
          <w:szCs w:val="24"/>
          <w:lang w:eastAsia="bg-BG"/>
        </w:rPr>
        <w:t>В случаите, в които АОП извършва контрол по реда чл. 229, ал. 1, т. 2 букв</w:t>
      </w:r>
      <w:r w:rsidR="00235B11">
        <w:rPr>
          <w:rFonts w:ascii="Times New Roman" w:eastAsia="Times New Roman" w:hAnsi="Times New Roman" w:cs="Times New Roman"/>
          <w:sz w:val="24"/>
          <w:szCs w:val="24"/>
          <w:lang w:eastAsia="bg-BG"/>
        </w:rPr>
        <w:t>и</w:t>
      </w:r>
      <w:r w:rsidRPr="00C82470">
        <w:rPr>
          <w:rFonts w:ascii="Times New Roman" w:eastAsia="Times New Roman" w:hAnsi="Times New Roman" w:cs="Times New Roman"/>
          <w:sz w:val="24"/>
          <w:szCs w:val="24"/>
          <w:lang w:eastAsia="bg-BG"/>
        </w:rPr>
        <w:t xml:space="preserve"> „г“ </w:t>
      </w:r>
      <w:r w:rsidR="00235B11" w:rsidRPr="00235B11">
        <w:rPr>
          <w:rFonts w:ascii="Times New Roman" w:eastAsia="Times New Roman" w:hAnsi="Times New Roman" w:cs="Times New Roman"/>
          <w:b/>
          <w:sz w:val="24"/>
          <w:szCs w:val="24"/>
          <w:lang w:eastAsia="bg-BG"/>
        </w:rPr>
        <w:t xml:space="preserve">и „ж“ </w:t>
      </w:r>
      <w:r w:rsidRPr="00C82470">
        <w:rPr>
          <w:rFonts w:ascii="Times New Roman" w:eastAsia="Times New Roman" w:hAnsi="Times New Roman" w:cs="Times New Roman"/>
          <w:sz w:val="24"/>
          <w:szCs w:val="24"/>
          <w:lang w:eastAsia="bg-BG"/>
        </w:rPr>
        <w:t>от ЗОП, съответно по реда на чл. 229, ал. 1, т. 2, буква „е“ във връзка с чл. 235 от ЗОП се извършва контрол единствено за спазване на принципа за „</w:t>
      </w:r>
      <w:proofErr w:type="spellStart"/>
      <w:r w:rsidRPr="00C82470">
        <w:rPr>
          <w:rFonts w:ascii="Times New Roman" w:eastAsia="Times New Roman" w:hAnsi="Times New Roman" w:cs="Times New Roman"/>
          <w:sz w:val="24"/>
          <w:szCs w:val="24"/>
          <w:lang w:eastAsia="bg-BG"/>
        </w:rPr>
        <w:t>ненанасяне</w:t>
      </w:r>
      <w:proofErr w:type="spellEnd"/>
      <w:r w:rsidRPr="00C82470">
        <w:rPr>
          <w:rFonts w:ascii="Times New Roman" w:eastAsia="Times New Roman" w:hAnsi="Times New Roman" w:cs="Times New Roman"/>
          <w:sz w:val="24"/>
          <w:szCs w:val="24"/>
          <w:lang w:eastAsia="bg-BG"/>
        </w:rPr>
        <w:t xml:space="preserve"> на значителни вреди“. </w:t>
      </w:r>
      <w:r w:rsidR="000720F5" w:rsidRPr="00C82470">
        <w:rPr>
          <w:rFonts w:ascii="Times New Roman" w:eastAsia="Calibri" w:hAnsi="Times New Roman" w:cs="Times New Roman"/>
          <w:sz w:val="24"/>
          <w:szCs w:val="24"/>
        </w:rPr>
        <w:t>И</w:t>
      </w:r>
      <w:proofErr w:type="spellStart"/>
      <w:r w:rsidRPr="00C82470">
        <w:rPr>
          <w:rFonts w:ascii="Times New Roman" w:eastAsia="Calibri" w:hAnsi="Times New Roman" w:cs="Times New Roman"/>
          <w:sz w:val="24"/>
          <w:szCs w:val="24"/>
          <w:lang w:val="en-US"/>
        </w:rPr>
        <w:t>звършва</w:t>
      </w:r>
      <w:proofErr w:type="spellEnd"/>
      <w:r w:rsidRPr="00C82470">
        <w:rPr>
          <w:rFonts w:ascii="Times New Roman" w:eastAsia="Calibri" w:hAnsi="Times New Roman" w:cs="Times New Roman"/>
          <w:sz w:val="24"/>
          <w:szCs w:val="24"/>
          <w:lang w:val="en-US"/>
        </w:rPr>
        <w:t xml:space="preserve"> </w:t>
      </w:r>
      <w:r w:rsidR="000720F5" w:rsidRPr="00C82470">
        <w:rPr>
          <w:rFonts w:ascii="Times New Roman" w:eastAsia="Calibri" w:hAnsi="Times New Roman" w:cs="Times New Roman"/>
          <w:sz w:val="24"/>
          <w:szCs w:val="24"/>
        </w:rPr>
        <w:t xml:space="preserve">се </w:t>
      </w:r>
      <w:proofErr w:type="spellStart"/>
      <w:r w:rsidRPr="00C82470">
        <w:rPr>
          <w:rFonts w:ascii="Times New Roman" w:eastAsia="Calibri" w:hAnsi="Times New Roman" w:cs="Times New Roman"/>
          <w:sz w:val="24"/>
          <w:szCs w:val="24"/>
          <w:lang w:val="en-US"/>
        </w:rPr>
        <w:t>пр</w:t>
      </w:r>
      <w:r w:rsidRPr="00495218">
        <w:rPr>
          <w:rFonts w:ascii="Times New Roman" w:eastAsia="Calibri" w:hAnsi="Times New Roman" w:cs="Times New Roman"/>
          <w:sz w:val="24"/>
          <w:szCs w:val="24"/>
          <w:lang w:val="en-US"/>
        </w:rPr>
        <w:t>еглед</w:t>
      </w:r>
      <w:proofErr w:type="spellEnd"/>
      <w:r w:rsidRPr="00495218">
        <w:rPr>
          <w:rFonts w:ascii="Times New Roman" w:eastAsia="Calibri" w:hAnsi="Times New Roman" w:cs="Times New Roman"/>
          <w:sz w:val="24"/>
          <w:szCs w:val="24"/>
          <w:lang w:val="en-US"/>
        </w:rPr>
        <w:t xml:space="preserve"> за </w:t>
      </w:r>
      <w:proofErr w:type="spellStart"/>
      <w:r w:rsidRPr="00495218">
        <w:rPr>
          <w:rFonts w:ascii="Times New Roman" w:eastAsia="Calibri" w:hAnsi="Times New Roman" w:cs="Times New Roman"/>
          <w:sz w:val="24"/>
          <w:szCs w:val="24"/>
          <w:lang w:val="en-US"/>
        </w:rPr>
        <w:t>получаване</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увереност</w:t>
      </w:r>
      <w:proofErr w:type="spellEnd"/>
      <w:r w:rsidRPr="00495218">
        <w:rPr>
          <w:rFonts w:ascii="Times New Roman" w:eastAsia="Calibri" w:hAnsi="Times New Roman" w:cs="Times New Roman"/>
          <w:sz w:val="24"/>
          <w:szCs w:val="24"/>
          <w:lang w:val="en-US"/>
        </w:rPr>
        <w:t xml:space="preserve">, че </w:t>
      </w:r>
      <w:proofErr w:type="spellStart"/>
      <w:r w:rsidRPr="00495218">
        <w:rPr>
          <w:rFonts w:ascii="Times New Roman" w:eastAsia="Calibri" w:hAnsi="Times New Roman" w:cs="Times New Roman"/>
          <w:sz w:val="24"/>
          <w:szCs w:val="24"/>
          <w:lang w:val="en-US"/>
        </w:rPr>
        <w:t>възложителят</w:t>
      </w:r>
      <w:proofErr w:type="spellEnd"/>
      <w:r w:rsidRPr="00495218">
        <w:rPr>
          <w:rFonts w:ascii="Times New Roman" w:eastAsia="Calibri" w:hAnsi="Times New Roman" w:cs="Times New Roman"/>
          <w:sz w:val="24"/>
          <w:szCs w:val="24"/>
          <w:lang w:val="en-US"/>
        </w:rPr>
        <w:t xml:space="preserve">, </w:t>
      </w:r>
      <w:r w:rsidRPr="00495218">
        <w:rPr>
          <w:rFonts w:ascii="Times New Roman" w:eastAsia="Calibri" w:hAnsi="Times New Roman" w:cs="Times New Roman"/>
          <w:sz w:val="24"/>
          <w:szCs w:val="24"/>
          <w:lang w:val="en-US"/>
        </w:rPr>
        <w:lastRenderedPageBreak/>
        <w:t xml:space="preserve">в </w:t>
      </w:r>
      <w:proofErr w:type="spellStart"/>
      <w:r w:rsidRPr="00495218">
        <w:rPr>
          <w:rFonts w:ascii="Times New Roman" w:eastAsia="Calibri" w:hAnsi="Times New Roman" w:cs="Times New Roman"/>
          <w:sz w:val="24"/>
          <w:szCs w:val="24"/>
          <w:lang w:val="en-US"/>
        </w:rPr>
        <w:t>приложимите</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случаи</w:t>
      </w:r>
      <w:proofErr w:type="spellEnd"/>
      <w:r w:rsidRPr="00495218">
        <w:rPr>
          <w:rFonts w:ascii="Times New Roman" w:eastAsia="Calibri" w:hAnsi="Times New Roman" w:cs="Times New Roman"/>
          <w:sz w:val="24"/>
          <w:szCs w:val="24"/>
          <w:lang w:val="en-US"/>
        </w:rPr>
        <w:t xml:space="preserve">, е </w:t>
      </w:r>
      <w:proofErr w:type="spellStart"/>
      <w:r w:rsidRPr="00495218">
        <w:rPr>
          <w:rFonts w:ascii="Times New Roman" w:eastAsia="Calibri" w:hAnsi="Times New Roman" w:cs="Times New Roman"/>
          <w:sz w:val="24"/>
          <w:szCs w:val="24"/>
          <w:lang w:val="en-US"/>
        </w:rPr>
        <w:t>предвидил</w:t>
      </w:r>
      <w:proofErr w:type="spellEnd"/>
      <w:r w:rsidRPr="00495218">
        <w:rPr>
          <w:rFonts w:ascii="Times New Roman" w:eastAsia="Calibri" w:hAnsi="Times New Roman" w:cs="Times New Roman"/>
          <w:sz w:val="24"/>
          <w:szCs w:val="24"/>
          <w:lang w:val="en-US"/>
        </w:rPr>
        <w:t xml:space="preserve"> в </w:t>
      </w:r>
      <w:proofErr w:type="spellStart"/>
      <w:r w:rsidRPr="00495218">
        <w:rPr>
          <w:rFonts w:ascii="Times New Roman" w:eastAsia="Calibri" w:hAnsi="Times New Roman" w:cs="Times New Roman"/>
          <w:sz w:val="24"/>
          <w:szCs w:val="24"/>
          <w:lang w:val="en-US"/>
        </w:rPr>
        <w:t>техническата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спецификация</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мерки</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съдържащи</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условия</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свързани</w:t>
      </w:r>
      <w:proofErr w:type="spellEnd"/>
      <w:r w:rsidRPr="00495218">
        <w:rPr>
          <w:rFonts w:ascii="Times New Roman" w:eastAsia="Calibri" w:hAnsi="Times New Roman" w:cs="Times New Roman"/>
          <w:sz w:val="24"/>
          <w:szCs w:val="24"/>
          <w:lang w:val="en-US"/>
        </w:rPr>
        <w:t xml:space="preserve"> с </w:t>
      </w:r>
      <w:proofErr w:type="spellStart"/>
      <w:r w:rsidRPr="00495218">
        <w:rPr>
          <w:rFonts w:ascii="Times New Roman" w:eastAsia="Calibri" w:hAnsi="Times New Roman" w:cs="Times New Roman"/>
          <w:sz w:val="24"/>
          <w:szCs w:val="24"/>
          <w:lang w:val="en-US"/>
        </w:rPr>
        <w:t>принципа</w:t>
      </w:r>
      <w:proofErr w:type="spellEnd"/>
      <w:r w:rsidRPr="00495218">
        <w:rPr>
          <w:rFonts w:ascii="Times New Roman" w:eastAsia="Calibri" w:hAnsi="Times New Roman" w:cs="Times New Roman"/>
          <w:sz w:val="24"/>
          <w:szCs w:val="24"/>
          <w:lang w:val="en-US"/>
        </w:rPr>
        <w:t xml:space="preserve"> за „</w:t>
      </w:r>
      <w:proofErr w:type="spellStart"/>
      <w:r w:rsidRPr="00495218">
        <w:rPr>
          <w:rFonts w:ascii="Times New Roman" w:eastAsia="Calibri" w:hAnsi="Times New Roman" w:cs="Times New Roman"/>
          <w:sz w:val="24"/>
          <w:szCs w:val="24"/>
          <w:lang w:val="en-US"/>
        </w:rPr>
        <w:t>ненанасяне</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значителни</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вреди</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по</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смисъла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член</w:t>
      </w:r>
      <w:proofErr w:type="spellEnd"/>
      <w:r w:rsidRPr="00495218">
        <w:rPr>
          <w:rFonts w:ascii="Times New Roman" w:eastAsia="Calibri" w:hAnsi="Times New Roman" w:cs="Times New Roman"/>
          <w:sz w:val="24"/>
          <w:szCs w:val="24"/>
          <w:lang w:val="en-US"/>
        </w:rPr>
        <w:t xml:space="preserve"> 17 </w:t>
      </w:r>
      <w:proofErr w:type="spellStart"/>
      <w:r w:rsidRPr="00495218">
        <w:rPr>
          <w:rFonts w:ascii="Times New Roman" w:eastAsia="Calibri" w:hAnsi="Times New Roman" w:cs="Times New Roman"/>
          <w:sz w:val="24"/>
          <w:szCs w:val="24"/>
          <w:lang w:val="en-US"/>
        </w:rPr>
        <w:t>от</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Регламент</w:t>
      </w:r>
      <w:proofErr w:type="spellEnd"/>
      <w:r w:rsidRPr="00495218">
        <w:rPr>
          <w:rFonts w:ascii="Times New Roman" w:eastAsia="Calibri" w:hAnsi="Times New Roman" w:cs="Times New Roman"/>
          <w:sz w:val="24"/>
          <w:szCs w:val="24"/>
          <w:lang w:val="en-US"/>
        </w:rPr>
        <w:t xml:space="preserve"> (ЕС) 2020/852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Европейския</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парламент</w:t>
      </w:r>
      <w:proofErr w:type="spellEnd"/>
      <w:r w:rsidRPr="00495218">
        <w:rPr>
          <w:rFonts w:ascii="Times New Roman" w:eastAsia="Calibri" w:hAnsi="Times New Roman" w:cs="Times New Roman"/>
          <w:sz w:val="24"/>
          <w:szCs w:val="24"/>
          <w:lang w:val="en-US"/>
        </w:rPr>
        <w:t xml:space="preserve"> и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Съвета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от</w:t>
      </w:r>
      <w:proofErr w:type="spellEnd"/>
      <w:r w:rsidRPr="00495218">
        <w:rPr>
          <w:rFonts w:ascii="Times New Roman" w:eastAsia="Calibri" w:hAnsi="Times New Roman" w:cs="Times New Roman"/>
          <w:sz w:val="24"/>
          <w:szCs w:val="24"/>
          <w:lang w:val="en-US"/>
        </w:rPr>
        <w:t xml:space="preserve"> 18 </w:t>
      </w:r>
      <w:proofErr w:type="spellStart"/>
      <w:r w:rsidRPr="00495218">
        <w:rPr>
          <w:rFonts w:ascii="Times New Roman" w:eastAsia="Calibri" w:hAnsi="Times New Roman" w:cs="Times New Roman"/>
          <w:sz w:val="24"/>
          <w:szCs w:val="24"/>
          <w:lang w:val="en-US"/>
        </w:rPr>
        <w:t>юни</w:t>
      </w:r>
      <w:proofErr w:type="spellEnd"/>
      <w:r w:rsidRPr="00495218">
        <w:rPr>
          <w:rFonts w:ascii="Times New Roman" w:eastAsia="Calibri" w:hAnsi="Times New Roman" w:cs="Times New Roman"/>
          <w:sz w:val="24"/>
          <w:szCs w:val="24"/>
          <w:lang w:val="en-US"/>
        </w:rPr>
        <w:t xml:space="preserve"> 2020 </w:t>
      </w:r>
      <w:proofErr w:type="spellStart"/>
      <w:r w:rsidRPr="00495218">
        <w:rPr>
          <w:rFonts w:ascii="Times New Roman" w:eastAsia="Calibri" w:hAnsi="Times New Roman" w:cs="Times New Roman"/>
          <w:sz w:val="24"/>
          <w:szCs w:val="24"/>
          <w:lang w:val="en-US"/>
        </w:rPr>
        <w:t>година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Дейностите</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предмет</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на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поръчката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следва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да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оказват</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незначително</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предвидимо</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въздействие</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върху</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околната</w:t>
      </w:r>
      <w:proofErr w:type="spellEnd"/>
      <w:r w:rsidRPr="00495218">
        <w:rPr>
          <w:rFonts w:ascii="Times New Roman" w:eastAsia="Calibri" w:hAnsi="Times New Roman" w:cs="Times New Roman"/>
          <w:sz w:val="24"/>
          <w:szCs w:val="24"/>
          <w:lang w:val="en-US"/>
        </w:rPr>
        <w:t xml:space="preserve"> </w:t>
      </w:r>
      <w:proofErr w:type="spellStart"/>
      <w:r w:rsidRPr="00495218">
        <w:rPr>
          <w:rFonts w:ascii="Times New Roman" w:eastAsia="Calibri" w:hAnsi="Times New Roman" w:cs="Times New Roman"/>
          <w:sz w:val="24"/>
          <w:szCs w:val="24"/>
          <w:lang w:val="en-US"/>
        </w:rPr>
        <w:t>среда</w:t>
      </w:r>
      <w:proofErr w:type="spellEnd"/>
      <w:r w:rsidRPr="00495218">
        <w:rPr>
          <w:rFonts w:ascii="Times New Roman" w:eastAsia="Calibri" w:hAnsi="Times New Roman" w:cs="Times New Roman"/>
          <w:sz w:val="24"/>
          <w:szCs w:val="24"/>
          <w:lang w:val="en-US"/>
        </w:rPr>
        <w:t>.</w:t>
      </w:r>
      <w:r w:rsidR="00495218">
        <w:rPr>
          <w:rFonts w:ascii="Times New Roman" w:eastAsia="Calibri" w:hAnsi="Times New Roman" w:cs="Times New Roman"/>
          <w:sz w:val="24"/>
          <w:szCs w:val="24"/>
        </w:rPr>
        <w:t xml:space="preserve"> </w:t>
      </w:r>
    </w:p>
    <w:p w14:paraId="678A92F2" w14:textId="2904D7DD" w:rsidR="009E3B65" w:rsidRPr="009E3B65" w:rsidRDefault="009E3B65" w:rsidP="009E3B65">
      <w:pPr>
        <w:spacing w:before="120" w:after="100" w:afterAutospacing="1" w:line="240" w:lineRule="auto"/>
        <w:ind w:firstLine="709"/>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 xml:space="preserve">В случай, че възложителите използват стандартизирани изисквания и документи за </w:t>
      </w:r>
      <w:r w:rsidR="0026578D">
        <w:rPr>
          <w:rFonts w:ascii="Times New Roman" w:eastAsia="Times New Roman" w:hAnsi="Times New Roman" w:cs="Times New Roman"/>
          <w:sz w:val="24"/>
          <w:szCs w:val="24"/>
          <w:lang w:eastAsia="bg-BG"/>
        </w:rPr>
        <w:t>обществена поръчка</w:t>
      </w:r>
      <w:r w:rsidRPr="009E3B65">
        <w:rPr>
          <w:rFonts w:ascii="Times New Roman" w:eastAsia="Times New Roman" w:hAnsi="Times New Roman" w:cs="Times New Roman"/>
          <w:sz w:val="24"/>
          <w:szCs w:val="24"/>
          <w:lang w:eastAsia="bg-BG"/>
        </w:rPr>
        <w:t xml:space="preserve"> за строителство, доставка или услуга, които са съгласувани от Министерството на финансите, или ако използват предвидените в ЗОП динамични системи за възлагане и електронни каталози, </w:t>
      </w:r>
      <w:r w:rsidR="00673DF6" w:rsidRPr="00673DF6">
        <w:rPr>
          <w:rFonts w:ascii="Times New Roman" w:eastAsia="Times New Roman" w:hAnsi="Times New Roman" w:cs="Times New Roman"/>
          <w:sz w:val="24"/>
          <w:szCs w:val="24"/>
          <w:lang w:eastAsia="bg-BG"/>
        </w:rPr>
        <w:t xml:space="preserve">или ако възлагат поръчки чрез вътрешен конкурентен избор въз основа на сключени рамкови споразумения </w:t>
      </w:r>
      <w:r w:rsidR="00673DF6">
        <w:rPr>
          <w:rFonts w:ascii="Times New Roman" w:eastAsia="Times New Roman" w:hAnsi="Times New Roman" w:cs="Times New Roman"/>
          <w:sz w:val="24"/>
          <w:szCs w:val="24"/>
          <w:lang w:eastAsia="bg-BG"/>
        </w:rPr>
        <w:t xml:space="preserve">по ЗОП, </w:t>
      </w:r>
      <w:r w:rsidRPr="009E3B65">
        <w:rPr>
          <w:rFonts w:ascii="Times New Roman" w:eastAsia="Times New Roman" w:hAnsi="Times New Roman" w:cs="Times New Roman"/>
          <w:sz w:val="24"/>
          <w:szCs w:val="24"/>
          <w:lang w:eastAsia="bg-BG"/>
        </w:rPr>
        <w:t>предварителен контрол на документацията за обществена поръчка не се извършва</w:t>
      </w:r>
      <w:r w:rsidR="00075A14">
        <w:rPr>
          <w:rFonts w:ascii="Times New Roman" w:eastAsia="Times New Roman" w:hAnsi="Times New Roman" w:cs="Times New Roman"/>
          <w:sz w:val="24"/>
          <w:szCs w:val="24"/>
          <w:lang w:val="en-US" w:eastAsia="bg-BG"/>
        </w:rPr>
        <w:t>.</w:t>
      </w:r>
    </w:p>
    <w:p w14:paraId="4A344F3D" w14:textId="77777777" w:rsidR="009E3B65" w:rsidRPr="009E3B65" w:rsidRDefault="009E3B65" w:rsidP="009E3B65">
      <w:pPr>
        <w:numPr>
          <w:ilvl w:val="0"/>
          <w:numId w:val="3"/>
        </w:numPr>
        <w:spacing w:before="120" w:after="100" w:afterAutospacing="1" w:line="240" w:lineRule="auto"/>
        <w:ind w:left="714" w:hanging="357"/>
        <w:jc w:val="both"/>
        <w:rPr>
          <w:rFonts w:ascii="Times New Roman" w:eastAsia="Times New Roman" w:hAnsi="Times New Roman" w:cs="Times New Roman"/>
          <w:b/>
          <w:i/>
          <w:sz w:val="24"/>
          <w:szCs w:val="24"/>
          <w:lang w:eastAsia="bg-BG"/>
        </w:rPr>
      </w:pPr>
      <w:r w:rsidRPr="009E3B65">
        <w:rPr>
          <w:rFonts w:ascii="Times New Roman" w:eastAsia="Times New Roman" w:hAnsi="Times New Roman" w:cs="Times New Roman"/>
          <w:b/>
          <w:i/>
          <w:sz w:val="24"/>
          <w:szCs w:val="24"/>
          <w:lang w:eastAsia="bg-BG"/>
        </w:rPr>
        <w:t>Предварителен контрол на документацията за участие в процедури за избор на изпълнители</w:t>
      </w:r>
    </w:p>
    <w:p w14:paraId="53D0C4A1" w14:textId="77777777" w:rsidR="009E3B65" w:rsidRPr="009E3B65" w:rsidRDefault="009E3B65" w:rsidP="009E3B65">
      <w:pPr>
        <w:spacing w:before="120" w:after="0" w:line="240" w:lineRule="auto"/>
        <w:ind w:firstLine="714"/>
        <w:jc w:val="both"/>
        <w:rPr>
          <w:rFonts w:ascii="Times New Roman" w:eastAsia="Times New Roman" w:hAnsi="Times New Roman" w:cs="Times New Roman"/>
          <w:sz w:val="24"/>
          <w:szCs w:val="24"/>
          <w:lang w:val="en-US" w:eastAsia="bg-BG"/>
        </w:rPr>
      </w:pPr>
      <w:r w:rsidRPr="009E3B65">
        <w:rPr>
          <w:rFonts w:ascii="Times New Roman" w:eastAsia="Times New Roman" w:hAnsi="Times New Roman" w:cs="Times New Roman"/>
          <w:sz w:val="24"/>
          <w:szCs w:val="24"/>
          <w:lang w:eastAsia="bg-BG"/>
        </w:rPr>
        <w:t xml:space="preserve">КП е длъжен да предостави чрез ИС за ПВУ </w:t>
      </w:r>
      <w:r w:rsidR="007B05CC" w:rsidRPr="007B05CC">
        <w:rPr>
          <w:rFonts w:ascii="Times New Roman" w:eastAsia="Times New Roman" w:hAnsi="Times New Roman" w:cs="Times New Roman"/>
          <w:sz w:val="24"/>
          <w:szCs w:val="24"/>
          <w:lang w:eastAsia="bg-BG"/>
        </w:rPr>
        <w:t>документацията за възлагане на обществена поръчка  по реда на ЗОП</w:t>
      </w:r>
      <w:r w:rsidRPr="009E3B65">
        <w:rPr>
          <w:rFonts w:ascii="Times New Roman" w:eastAsia="Times New Roman" w:hAnsi="Times New Roman" w:cs="Times New Roman"/>
          <w:sz w:val="24"/>
          <w:szCs w:val="24"/>
          <w:lang w:eastAsia="bg-BG"/>
        </w:rPr>
        <w:t xml:space="preserve"> преди публикуването й</w:t>
      </w:r>
      <w:r w:rsidR="007B05CC">
        <w:rPr>
          <w:rFonts w:ascii="Times New Roman" w:eastAsia="Times New Roman" w:hAnsi="Times New Roman" w:cs="Times New Roman"/>
          <w:sz w:val="24"/>
          <w:szCs w:val="24"/>
          <w:lang w:eastAsia="bg-BG"/>
        </w:rPr>
        <w:t>.</w:t>
      </w:r>
      <w:r w:rsidRPr="009E3B65">
        <w:rPr>
          <w:rFonts w:ascii="Times New Roman" w:eastAsia="Times New Roman" w:hAnsi="Times New Roman" w:cs="Times New Roman"/>
          <w:sz w:val="24"/>
          <w:szCs w:val="24"/>
          <w:lang w:eastAsia="bg-BG"/>
        </w:rPr>
        <w:t>.</w:t>
      </w:r>
    </w:p>
    <w:p w14:paraId="0B143CCB" w14:textId="77777777" w:rsidR="009E3B65" w:rsidRPr="009E3B65" w:rsidRDefault="009E3B65" w:rsidP="009E3B65">
      <w:pPr>
        <w:spacing w:before="120" w:after="0" w:line="240" w:lineRule="auto"/>
        <w:ind w:firstLine="714"/>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 xml:space="preserve">При осъществяване на предварителен контрол на процедурите за определяне на изпълнител се попълват контролни листове в зависимост от процедурата </w:t>
      </w:r>
      <w:r w:rsidRPr="009E3B65">
        <w:rPr>
          <w:rFonts w:ascii="Times New Roman" w:eastAsia="Times New Roman" w:hAnsi="Times New Roman" w:cs="Times New Roman"/>
          <w:sz w:val="24"/>
          <w:szCs w:val="24"/>
          <w:lang w:val="en-US" w:eastAsia="bg-BG"/>
        </w:rPr>
        <w:t>(</w:t>
      </w:r>
      <w:r w:rsidRPr="009E3B65">
        <w:rPr>
          <w:rFonts w:ascii="Times New Roman" w:eastAsia="Times New Roman" w:hAnsi="Times New Roman" w:cs="Times New Roman"/>
          <w:sz w:val="24"/>
          <w:szCs w:val="24"/>
          <w:lang w:eastAsia="bg-BG"/>
        </w:rPr>
        <w:t xml:space="preserve">Приложение </w:t>
      </w:r>
      <w:r w:rsidRPr="009E3B65">
        <w:rPr>
          <w:rFonts w:ascii="Times New Roman" w:eastAsia="Times New Roman" w:hAnsi="Times New Roman" w:cs="Times New Roman"/>
          <w:sz w:val="24"/>
          <w:szCs w:val="24"/>
          <w:lang w:val="en-US" w:eastAsia="bg-BG"/>
        </w:rPr>
        <w:t>2)</w:t>
      </w:r>
      <w:r w:rsidRPr="009E3B65">
        <w:rPr>
          <w:rFonts w:ascii="Times New Roman" w:eastAsia="Times New Roman" w:hAnsi="Times New Roman" w:cs="Times New Roman"/>
          <w:sz w:val="24"/>
          <w:szCs w:val="24"/>
          <w:lang w:eastAsia="bg-BG"/>
        </w:rPr>
        <w:t>.</w:t>
      </w:r>
    </w:p>
    <w:p w14:paraId="226CE53B" w14:textId="77777777" w:rsidR="009E3B65" w:rsidRPr="009E3B65" w:rsidRDefault="009E3B65" w:rsidP="009E3B65">
      <w:pPr>
        <w:spacing w:before="120" w:after="0" w:line="240" w:lineRule="auto"/>
        <w:ind w:firstLine="714"/>
        <w:jc w:val="both"/>
        <w:rPr>
          <w:rFonts w:ascii="Times New Roman" w:eastAsia="Times New Roman" w:hAnsi="Times New Roman" w:cs="Times New Roman"/>
          <w:sz w:val="24"/>
          <w:szCs w:val="24"/>
          <w:lang w:val="en-US" w:eastAsia="bg-BG"/>
        </w:rPr>
      </w:pPr>
      <w:r w:rsidRPr="009E3B65">
        <w:rPr>
          <w:rFonts w:ascii="Times New Roman" w:eastAsia="Times New Roman" w:hAnsi="Times New Roman" w:cs="Times New Roman"/>
          <w:sz w:val="24"/>
          <w:szCs w:val="24"/>
          <w:lang w:eastAsia="bg-BG"/>
        </w:rPr>
        <w:t xml:space="preserve">Проверката се осъществява в срок до </w:t>
      </w:r>
      <w:r w:rsidR="007B05CC" w:rsidRPr="009E3B65">
        <w:rPr>
          <w:rFonts w:ascii="Times New Roman" w:eastAsia="Times New Roman" w:hAnsi="Times New Roman" w:cs="Times New Roman"/>
          <w:sz w:val="24"/>
          <w:szCs w:val="24"/>
          <w:lang w:eastAsia="bg-BG"/>
        </w:rPr>
        <w:t>1</w:t>
      </w:r>
      <w:r w:rsidR="007B05CC">
        <w:rPr>
          <w:rFonts w:ascii="Times New Roman" w:eastAsia="Times New Roman" w:hAnsi="Times New Roman" w:cs="Times New Roman"/>
          <w:sz w:val="24"/>
          <w:szCs w:val="24"/>
          <w:lang w:eastAsia="bg-BG"/>
        </w:rPr>
        <w:t>5</w:t>
      </w:r>
      <w:r w:rsidR="007B05CC" w:rsidRPr="009E3B65">
        <w:rPr>
          <w:rFonts w:ascii="Times New Roman" w:eastAsia="Times New Roman" w:hAnsi="Times New Roman" w:cs="Times New Roman"/>
          <w:sz w:val="24"/>
          <w:szCs w:val="24"/>
          <w:lang w:eastAsia="bg-BG"/>
        </w:rPr>
        <w:t xml:space="preserve"> </w:t>
      </w:r>
      <w:r w:rsidRPr="009E3B65">
        <w:rPr>
          <w:rFonts w:ascii="Times New Roman" w:eastAsia="Times New Roman" w:hAnsi="Times New Roman" w:cs="Times New Roman"/>
          <w:sz w:val="24"/>
          <w:szCs w:val="24"/>
          <w:lang w:eastAsia="bg-BG"/>
        </w:rPr>
        <w:t>работни дни от предоставяне на документацията от КП за съответствие с конкретните процедури за възлагане съгласно ЗОП. В случай на установен</w:t>
      </w:r>
      <w:r w:rsidR="00CF3AB9">
        <w:rPr>
          <w:rFonts w:ascii="Times New Roman" w:eastAsia="Times New Roman" w:hAnsi="Times New Roman" w:cs="Times New Roman"/>
          <w:sz w:val="24"/>
          <w:szCs w:val="24"/>
          <w:lang w:eastAsia="bg-BG"/>
        </w:rPr>
        <w:t>а</w:t>
      </w:r>
      <w:r w:rsidRPr="009E3B65">
        <w:rPr>
          <w:rFonts w:ascii="Times New Roman" w:eastAsia="Times New Roman" w:hAnsi="Times New Roman" w:cs="Times New Roman"/>
          <w:sz w:val="24"/>
          <w:szCs w:val="24"/>
          <w:lang w:eastAsia="bg-BG"/>
        </w:rPr>
        <w:t xml:space="preserve"> </w:t>
      </w:r>
      <w:r w:rsidR="00CF3AB9">
        <w:rPr>
          <w:rFonts w:ascii="Times New Roman" w:eastAsia="Times New Roman" w:hAnsi="Times New Roman" w:cs="Times New Roman"/>
          <w:sz w:val="24"/>
          <w:szCs w:val="24"/>
          <w:lang w:eastAsia="bg-BG"/>
        </w:rPr>
        <w:t>липса на документи необходими за осъществяването на контрола</w:t>
      </w:r>
      <w:r w:rsidR="00075A14">
        <w:rPr>
          <w:rFonts w:ascii="Times New Roman" w:eastAsia="Times New Roman" w:hAnsi="Times New Roman" w:cs="Times New Roman"/>
          <w:sz w:val="24"/>
          <w:szCs w:val="24"/>
          <w:lang w:val="en-US" w:eastAsia="bg-BG"/>
        </w:rPr>
        <w:t xml:space="preserve"> </w:t>
      </w:r>
      <w:r w:rsidR="00CF3AB9">
        <w:rPr>
          <w:rFonts w:ascii="Times New Roman" w:eastAsia="Times New Roman" w:hAnsi="Times New Roman" w:cs="Times New Roman"/>
          <w:sz w:val="24"/>
          <w:szCs w:val="24"/>
          <w:lang w:eastAsia="bg-BG"/>
        </w:rPr>
        <w:t>чрез</w:t>
      </w:r>
      <w:r w:rsidRPr="009E3B65">
        <w:rPr>
          <w:rFonts w:ascii="Times New Roman" w:eastAsia="Times New Roman" w:hAnsi="Times New Roman" w:cs="Times New Roman"/>
          <w:sz w:val="24"/>
          <w:szCs w:val="24"/>
          <w:lang w:eastAsia="bg-BG"/>
        </w:rPr>
        <w:t xml:space="preserve"> ИС на ПВУ </w:t>
      </w:r>
      <w:r w:rsidR="00075A14">
        <w:rPr>
          <w:rFonts w:ascii="Times New Roman" w:eastAsia="Times New Roman" w:hAnsi="Times New Roman" w:cs="Times New Roman"/>
          <w:sz w:val="24"/>
          <w:szCs w:val="24"/>
          <w:lang w:eastAsia="bg-BG"/>
        </w:rPr>
        <w:t>се</w:t>
      </w:r>
      <w:r w:rsidRPr="009E3B65">
        <w:rPr>
          <w:rFonts w:ascii="Times New Roman" w:eastAsia="Times New Roman" w:hAnsi="Times New Roman" w:cs="Times New Roman"/>
          <w:sz w:val="24"/>
          <w:szCs w:val="24"/>
          <w:lang w:eastAsia="bg-BG"/>
        </w:rPr>
        <w:t xml:space="preserve"> </w:t>
      </w:r>
      <w:r w:rsidR="00CF3AB9">
        <w:rPr>
          <w:rFonts w:ascii="Times New Roman" w:eastAsia="Times New Roman" w:hAnsi="Times New Roman" w:cs="Times New Roman"/>
          <w:sz w:val="24"/>
          <w:szCs w:val="24"/>
          <w:lang w:eastAsia="bg-BG"/>
        </w:rPr>
        <w:t xml:space="preserve"> изискват</w:t>
      </w:r>
      <w:r w:rsidR="0029591B">
        <w:rPr>
          <w:rFonts w:ascii="Times New Roman" w:eastAsia="Times New Roman" w:hAnsi="Times New Roman" w:cs="Times New Roman"/>
          <w:sz w:val="24"/>
          <w:szCs w:val="24"/>
          <w:lang w:eastAsia="bg-BG"/>
        </w:rPr>
        <w:t xml:space="preserve"> </w:t>
      </w:r>
      <w:r w:rsidR="00CF3AB9">
        <w:rPr>
          <w:rFonts w:ascii="Times New Roman" w:eastAsia="Times New Roman" w:hAnsi="Times New Roman" w:cs="Times New Roman"/>
          <w:sz w:val="24"/>
          <w:szCs w:val="24"/>
          <w:lang w:eastAsia="bg-BG"/>
        </w:rPr>
        <w:t>липсващите документи от КП.</w:t>
      </w:r>
      <w:r w:rsidRPr="009E3B65">
        <w:rPr>
          <w:rFonts w:ascii="Times New Roman" w:eastAsia="Times New Roman" w:hAnsi="Times New Roman" w:cs="Times New Roman"/>
          <w:sz w:val="24"/>
          <w:szCs w:val="24"/>
          <w:lang w:eastAsia="bg-BG"/>
        </w:rPr>
        <w:t xml:space="preserve"> </w:t>
      </w:r>
      <w:r w:rsidR="00075A14">
        <w:rPr>
          <w:rFonts w:ascii="Times New Roman" w:eastAsia="Times New Roman" w:hAnsi="Times New Roman" w:cs="Times New Roman"/>
          <w:sz w:val="24"/>
          <w:szCs w:val="24"/>
          <w:lang w:eastAsia="bg-BG"/>
        </w:rPr>
        <w:t>С</w:t>
      </w:r>
      <w:r w:rsidRPr="009E3B65">
        <w:rPr>
          <w:rFonts w:ascii="Times New Roman" w:eastAsia="Times New Roman" w:hAnsi="Times New Roman" w:cs="Times New Roman"/>
          <w:sz w:val="24"/>
          <w:szCs w:val="24"/>
          <w:lang w:eastAsia="bg-BG"/>
        </w:rPr>
        <w:t>рок</w:t>
      </w:r>
      <w:r w:rsidR="00075A14">
        <w:rPr>
          <w:rFonts w:ascii="Times New Roman" w:eastAsia="Times New Roman" w:hAnsi="Times New Roman" w:cs="Times New Roman"/>
          <w:sz w:val="24"/>
          <w:szCs w:val="24"/>
          <w:lang w:eastAsia="bg-BG"/>
        </w:rPr>
        <w:t>ът</w:t>
      </w:r>
      <w:r w:rsidRPr="009E3B65">
        <w:rPr>
          <w:rFonts w:ascii="Times New Roman" w:eastAsia="Times New Roman" w:hAnsi="Times New Roman" w:cs="Times New Roman"/>
          <w:sz w:val="24"/>
          <w:szCs w:val="24"/>
          <w:lang w:eastAsia="bg-BG"/>
        </w:rPr>
        <w:t xml:space="preserve"> за осъществяване на предварителния контрол спира да тече </w:t>
      </w:r>
      <w:r w:rsidR="00CF3AB9">
        <w:rPr>
          <w:rFonts w:ascii="Times New Roman" w:eastAsia="Times New Roman" w:hAnsi="Times New Roman" w:cs="Times New Roman"/>
          <w:sz w:val="24"/>
          <w:szCs w:val="24"/>
          <w:lang w:eastAsia="bg-BG"/>
        </w:rPr>
        <w:t>до представянето на документи</w:t>
      </w:r>
      <w:r w:rsidR="0029591B">
        <w:rPr>
          <w:rFonts w:ascii="Times New Roman" w:eastAsia="Times New Roman" w:hAnsi="Times New Roman" w:cs="Times New Roman"/>
          <w:sz w:val="24"/>
          <w:szCs w:val="24"/>
          <w:lang w:eastAsia="bg-BG"/>
        </w:rPr>
        <w:t>те</w:t>
      </w:r>
      <w:r w:rsidR="00CF3AB9">
        <w:rPr>
          <w:rFonts w:ascii="Times New Roman" w:eastAsia="Times New Roman" w:hAnsi="Times New Roman" w:cs="Times New Roman"/>
          <w:sz w:val="24"/>
          <w:szCs w:val="24"/>
          <w:lang w:eastAsia="bg-BG"/>
        </w:rPr>
        <w:t>.</w:t>
      </w:r>
      <w:r w:rsidRPr="009E3B65">
        <w:rPr>
          <w:rFonts w:ascii="Times New Roman" w:eastAsia="Times New Roman" w:hAnsi="Times New Roman" w:cs="Times New Roman"/>
          <w:sz w:val="24"/>
          <w:szCs w:val="24"/>
          <w:lang w:eastAsia="bg-BG"/>
        </w:rPr>
        <w:t xml:space="preserve"> За извършената проверка се изготвя становище</w:t>
      </w:r>
      <w:r w:rsidR="003574FF">
        <w:rPr>
          <w:rFonts w:ascii="Times New Roman" w:eastAsia="Times New Roman" w:hAnsi="Times New Roman" w:cs="Times New Roman"/>
          <w:sz w:val="24"/>
          <w:szCs w:val="24"/>
          <w:lang w:eastAsia="bg-BG"/>
        </w:rPr>
        <w:t>, което</w:t>
      </w:r>
      <w:r w:rsidRPr="009E3B65">
        <w:rPr>
          <w:rFonts w:ascii="Times New Roman" w:eastAsia="Times New Roman" w:hAnsi="Times New Roman" w:cs="Times New Roman"/>
          <w:sz w:val="24"/>
          <w:szCs w:val="24"/>
          <w:lang w:eastAsia="bg-BG"/>
        </w:rPr>
        <w:t xml:space="preserve"> се предоставя чрез ИС за ПВУ</w:t>
      </w:r>
      <w:r w:rsidRPr="009E3B65">
        <w:rPr>
          <w:rFonts w:ascii="Times New Roman" w:eastAsia="Times New Roman" w:hAnsi="Times New Roman" w:cs="Times New Roman"/>
          <w:sz w:val="24"/>
          <w:szCs w:val="24"/>
          <w:lang w:val="en-US" w:eastAsia="bg-BG"/>
        </w:rPr>
        <w:t xml:space="preserve"> </w:t>
      </w:r>
      <w:r w:rsidRPr="009E3B65">
        <w:rPr>
          <w:rFonts w:ascii="Times New Roman" w:eastAsia="Times New Roman" w:hAnsi="Times New Roman" w:cs="Times New Roman"/>
          <w:sz w:val="24"/>
          <w:szCs w:val="24"/>
          <w:lang w:eastAsia="bg-BG"/>
        </w:rPr>
        <w:t>на КП. В становището се посочва, че пропускът на КП да отрази в документацията за обществена поръчка/избор на изпълнител направените препоръки, може да има финансови последици вследствие на осъществяване на контрол по т. 5.3 от СУК.</w:t>
      </w:r>
    </w:p>
    <w:p w14:paraId="46A2C5BA" w14:textId="77777777" w:rsidR="009E3B65" w:rsidRPr="009E3B65" w:rsidRDefault="009E3B65" w:rsidP="009E3B65">
      <w:pPr>
        <w:spacing w:after="0" w:line="240" w:lineRule="auto"/>
        <w:jc w:val="both"/>
        <w:rPr>
          <w:rFonts w:ascii="Times New Roman" w:eastAsia="Times New Roman" w:hAnsi="Times New Roman" w:cs="Times New Roman"/>
          <w:sz w:val="24"/>
          <w:szCs w:val="24"/>
          <w:lang w:eastAsia="bg-BG"/>
        </w:rPr>
      </w:pPr>
    </w:p>
    <w:p w14:paraId="6D883A5F" w14:textId="77777777" w:rsidR="009E3B65" w:rsidRPr="009E3B65" w:rsidRDefault="009E3B65" w:rsidP="009E3B65">
      <w:pPr>
        <w:numPr>
          <w:ilvl w:val="0"/>
          <w:numId w:val="3"/>
        </w:numPr>
        <w:spacing w:before="120" w:after="100" w:afterAutospacing="1" w:line="240" w:lineRule="auto"/>
        <w:ind w:left="714" w:hanging="357"/>
        <w:jc w:val="both"/>
        <w:rPr>
          <w:rFonts w:ascii="Times New Roman" w:eastAsia="Times New Roman" w:hAnsi="Times New Roman" w:cs="Times New Roman"/>
          <w:b/>
          <w:i/>
          <w:sz w:val="24"/>
          <w:szCs w:val="24"/>
          <w:lang w:eastAsia="bg-BG"/>
        </w:rPr>
      </w:pPr>
      <w:r w:rsidRPr="009E3B65">
        <w:rPr>
          <w:rFonts w:ascii="Times New Roman" w:eastAsia="Times New Roman" w:hAnsi="Times New Roman" w:cs="Times New Roman"/>
          <w:b/>
          <w:i/>
          <w:sz w:val="24"/>
          <w:szCs w:val="24"/>
          <w:lang w:eastAsia="bg-BG"/>
        </w:rPr>
        <w:t>Контрол след сключване на договора (в хода на изпълнението)</w:t>
      </w:r>
    </w:p>
    <w:p w14:paraId="1E344B7F" w14:textId="77777777" w:rsidR="009E3B65" w:rsidRPr="009E3B65" w:rsidRDefault="009E3B65" w:rsidP="009E3B65">
      <w:pPr>
        <w:spacing w:before="120" w:after="120" w:line="240" w:lineRule="auto"/>
        <w:ind w:firstLine="714"/>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64384" behindDoc="1" locked="0" layoutInCell="1" allowOverlap="1" wp14:anchorId="4D411C47" wp14:editId="55E6B326">
                <wp:simplePos x="0" y="0"/>
                <wp:positionH relativeFrom="margin">
                  <wp:posOffset>3557905</wp:posOffset>
                </wp:positionH>
                <wp:positionV relativeFrom="paragraph">
                  <wp:posOffset>440690</wp:posOffset>
                </wp:positionV>
                <wp:extent cx="2169795" cy="762000"/>
                <wp:effectExtent l="0" t="0" r="20955" b="19050"/>
                <wp:wrapTight wrapText="bothSides">
                  <wp:wrapPolygon edited="0">
                    <wp:start x="0" y="0"/>
                    <wp:lineTo x="0" y="21600"/>
                    <wp:lineTo x="21619" y="21600"/>
                    <wp:lineTo x="21619" y="0"/>
                    <wp:lineTo x="0" y="0"/>
                  </wp:wrapPolygon>
                </wp:wrapTight>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762000"/>
                        </a:xfrm>
                        <a:prstGeom prst="rect">
                          <a:avLst/>
                        </a:prstGeom>
                        <a:solidFill>
                          <a:srgbClr val="C0C0C0"/>
                        </a:solidFill>
                        <a:ln w="12700">
                          <a:solidFill>
                            <a:srgbClr val="C0C0C0"/>
                          </a:solidFill>
                          <a:miter lim="800000"/>
                          <a:headEnd/>
                          <a:tailEnd/>
                        </a:ln>
                      </wps:spPr>
                      <wps:txbx>
                        <w:txbxContent>
                          <w:p w14:paraId="6C466945" w14:textId="77777777" w:rsidR="009E3B65" w:rsidRPr="00E23362" w:rsidRDefault="009E3B65" w:rsidP="009E3B65">
                            <w:pPr>
                              <w:tabs>
                                <w:tab w:val="left" w:pos="1701"/>
                              </w:tabs>
                              <w:ind w:left="284" w:right="75" w:hanging="284"/>
                              <w:jc w:val="center"/>
                              <w:rPr>
                                <w:rFonts w:cs="Times New Roman"/>
                                <w:b/>
                                <w:bCs/>
                                <w:color w:val="000080"/>
                                <w:sz w:val="20"/>
                                <w:szCs w:val="20"/>
                              </w:rPr>
                            </w:pPr>
                            <w:r w:rsidRPr="00E23362">
                              <w:rPr>
                                <w:rFonts w:cs="Times New Roman"/>
                                <w:b/>
                                <w:bCs/>
                                <w:color w:val="000080"/>
                                <w:sz w:val="20"/>
                                <w:szCs w:val="20"/>
                              </w:rPr>
                              <w:t xml:space="preserve">Приложение </w:t>
                            </w:r>
                            <w:r>
                              <w:rPr>
                                <w:rFonts w:cs="Times New Roman"/>
                                <w:b/>
                                <w:bCs/>
                                <w:color w:val="000080"/>
                                <w:sz w:val="20"/>
                                <w:szCs w:val="20"/>
                              </w:rPr>
                              <w:t>2</w:t>
                            </w:r>
                          </w:p>
                          <w:p w14:paraId="64416DE1" w14:textId="77777777" w:rsidR="009E3B65" w:rsidRDefault="009E3B65" w:rsidP="009E3B65">
                            <w:pPr>
                              <w:tabs>
                                <w:tab w:val="left" w:pos="1701"/>
                              </w:tabs>
                              <w:ind w:left="284" w:right="75" w:hanging="284"/>
                              <w:jc w:val="center"/>
                              <w:rPr>
                                <w:rFonts w:cs="Times New Roman"/>
                                <w:b/>
                                <w:bCs/>
                                <w:color w:val="000080"/>
                                <w:sz w:val="20"/>
                                <w:szCs w:val="20"/>
                              </w:rPr>
                            </w:pPr>
                            <w:r w:rsidRPr="007C1FD4">
                              <w:rPr>
                                <w:rFonts w:cs="Times New Roman"/>
                                <w:b/>
                                <w:bCs/>
                                <w:color w:val="000080"/>
                                <w:sz w:val="20"/>
                                <w:szCs w:val="20"/>
                              </w:rPr>
                              <w:t xml:space="preserve">Контролен лист </w:t>
                            </w:r>
                            <w:r>
                              <w:rPr>
                                <w:rFonts w:cs="Times New Roman"/>
                                <w:b/>
                                <w:bCs/>
                                <w:color w:val="000080"/>
                                <w:sz w:val="20"/>
                                <w:szCs w:val="20"/>
                              </w:rPr>
                              <w:t>2</w:t>
                            </w:r>
                            <w:r w:rsidRPr="007C1FD4">
                              <w:rPr>
                                <w:rFonts w:cs="Times New Roman"/>
                                <w:b/>
                                <w:bCs/>
                                <w:color w:val="000080"/>
                                <w:sz w:val="20"/>
                                <w:szCs w:val="20"/>
                              </w:rPr>
                              <w:t>.1.</w:t>
                            </w:r>
                            <w:r>
                              <w:rPr>
                                <w:rFonts w:cs="Times New Roman"/>
                                <w:b/>
                                <w:bCs/>
                                <w:color w:val="000080"/>
                                <w:sz w:val="20"/>
                                <w:szCs w:val="20"/>
                              </w:rPr>
                              <w:t xml:space="preserve">б </w:t>
                            </w:r>
                          </w:p>
                          <w:p w14:paraId="3D214DA5" w14:textId="77777777" w:rsidR="009E3B65" w:rsidRPr="007C1FD4" w:rsidRDefault="009E3B65" w:rsidP="009E3B65">
                            <w:pPr>
                              <w:tabs>
                                <w:tab w:val="left" w:pos="1701"/>
                              </w:tabs>
                              <w:ind w:left="284" w:right="75" w:hanging="284"/>
                              <w:jc w:val="center"/>
                              <w:rPr>
                                <w:rFonts w:cs="Times New Roman"/>
                                <w:sz w:val="20"/>
                                <w:szCs w:val="20"/>
                              </w:rPr>
                            </w:pPr>
                            <w:r>
                              <w:rPr>
                                <w:rFonts w:cs="Times New Roman"/>
                                <w:b/>
                                <w:bCs/>
                                <w:color w:val="000080"/>
                                <w:sz w:val="20"/>
                                <w:szCs w:val="20"/>
                              </w:rPr>
                              <w:t>И</w:t>
                            </w:r>
                            <w:r w:rsidRPr="007C1FD4">
                              <w:rPr>
                                <w:rFonts w:cs="Times New Roman"/>
                                <w:b/>
                                <w:bCs/>
                                <w:color w:val="000080"/>
                                <w:sz w:val="20"/>
                                <w:szCs w:val="20"/>
                              </w:rPr>
                              <w:t>зменение на договор</w:t>
                            </w:r>
                          </w:p>
                          <w:p w14:paraId="41AC84EA" w14:textId="77777777" w:rsidR="009E3B65" w:rsidRPr="004E0FD4" w:rsidRDefault="009E3B65" w:rsidP="009E3B65">
                            <w:pPr>
                              <w:tabs>
                                <w:tab w:val="left" w:pos="1701"/>
                              </w:tabs>
                              <w:ind w:left="540" w:right="75" w:hanging="180"/>
                              <w:rPr>
                                <w:color w:val="000080"/>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11C47" id="_x0000_t202" coordsize="21600,21600" o:spt="202" path="m,l,21600r21600,l21600,xe">
                <v:stroke joinstyle="miter"/>
                <v:path gradientshapeok="t" o:connecttype="rect"/>
              </v:shapetype>
              <v:shape id="Text Box 8" o:spid="_x0000_s1026" type="#_x0000_t202" style="position:absolute;left:0;text-align:left;margin-left:280.15pt;margin-top:34.7pt;width:170.85pt;height:60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" fillcolor="silver" strokecolor="silver" strokeweight="1pt">
                <v:textbox inset="0,0,0,0">
                  <w:txbxContent>
                    <w:p w14:paraId="6C466945" w14:textId="77777777" w:rsidR="009E3B65" w:rsidRPr="00E23362" w:rsidRDefault="009E3B65" w:rsidP="009E3B65">
                      <w:pPr>
                        <w:tabs>
                          <w:tab w:val="left" w:pos="1701"/>
                        </w:tabs>
                        <w:ind w:left="284" w:right="75" w:hanging="284"/>
                        <w:jc w:val="center"/>
                        <w:rPr>
                          <w:rFonts w:cs="Times New Roman"/>
                          <w:b/>
                          <w:bCs/>
                          <w:color w:val="000080"/>
                          <w:sz w:val="20"/>
                          <w:szCs w:val="20"/>
                        </w:rPr>
                      </w:pPr>
                      <w:r w:rsidRPr="00E23362">
                        <w:rPr>
                          <w:rFonts w:cs="Times New Roman"/>
                          <w:b/>
                          <w:bCs/>
                          <w:color w:val="000080"/>
                          <w:sz w:val="20"/>
                          <w:szCs w:val="20"/>
                        </w:rPr>
                        <w:t xml:space="preserve">Приложение </w:t>
                      </w:r>
                      <w:r>
                        <w:rPr>
                          <w:rFonts w:cs="Times New Roman"/>
                          <w:b/>
                          <w:bCs/>
                          <w:color w:val="000080"/>
                          <w:sz w:val="20"/>
                          <w:szCs w:val="20"/>
                        </w:rPr>
                        <w:t>2</w:t>
                      </w:r>
                    </w:p>
                    <w:p w14:paraId="64416DE1" w14:textId="77777777" w:rsidR="009E3B65" w:rsidRDefault="009E3B65" w:rsidP="009E3B65">
                      <w:pPr>
                        <w:tabs>
                          <w:tab w:val="left" w:pos="1701"/>
                        </w:tabs>
                        <w:ind w:left="284" w:right="75" w:hanging="284"/>
                        <w:jc w:val="center"/>
                        <w:rPr>
                          <w:rFonts w:cs="Times New Roman"/>
                          <w:b/>
                          <w:bCs/>
                          <w:color w:val="000080"/>
                          <w:sz w:val="20"/>
                          <w:szCs w:val="20"/>
                        </w:rPr>
                      </w:pPr>
                      <w:r w:rsidRPr="007C1FD4">
                        <w:rPr>
                          <w:rFonts w:cs="Times New Roman"/>
                          <w:b/>
                          <w:bCs/>
                          <w:color w:val="000080"/>
                          <w:sz w:val="20"/>
                          <w:szCs w:val="20"/>
                        </w:rPr>
                        <w:t xml:space="preserve">Контролен лист </w:t>
                      </w:r>
                      <w:r>
                        <w:rPr>
                          <w:rFonts w:cs="Times New Roman"/>
                          <w:b/>
                          <w:bCs/>
                          <w:color w:val="000080"/>
                          <w:sz w:val="20"/>
                          <w:szCs w:val="20"/>
                        </w:rPr>
                        <w:t>2</w:t>
                      </w:r>
                      <w:r w:rsidRPr="007C1FD4">
                        <w:rPr>
                          <w:rFonts w:cs="Times New Roman"/>
                          <w:b/>
                          <w:bCs/>
                          <w:color w:val="000080"/>
                          <w:sz w:val="20"/>
                          <w:szCs w:val="20"/>
                        </w:rPr>
                        <w:t>.1.</w:t>
                      </w:r>
                      <w:r>
                        <w:rPr>
                          <w:rFonts w:cs="Times New Roman"/>
                          <w:b/>
                          <w:bCs/>
                          <w:color w:val="000080"/>
                          <w:sz w:val="20"/>
                          <w:szCs w:val="20"/>
                        </w:rPr>
                        <w:t xml:space="preserve">б </w:t>
                      </w:r>
                    </w:p>
                    <w:p w14:paraId="3D214DA5" w14:textId="77777777" w:rsidR="009E3B65" w:rsidRPr="007C1FD4" w:rsidRDefault="009E3B65" w:rsidP="009E3B65">
                      <w:pPr>
                        <w:tabs>
                          <w:tab w:val="left" w:pos="1701"/>
                        </w:tabs>
                        <w:ind w:left="284" w:right="75" w:hanging="284"/>
                        <w:jc w:val="center"/>
                        <w:rPr>
                          <w:rFonts w:cs="Times New Roman"/>
                          <w:sz w:val="20"/>
                          <w:szCs w:val="20"/>
                        </w:rPr>
                      </w:pPr>
                      <w:r>
                        <w:rPr>
                          <w:rFonts w:cs="Times New Roman"/>
                          <w:b/>
                          <w:bCs/>
                          <w:color w:val="000080"/>
                          <w:sz w:val="20"/>
                          <w:szCs w:val="20"/>
                        </w:rPr>
                        <w:t>И</w:t>
                      </w:r>
                      <w:r w:rsidRPr="007C1FD4">
                        <w:rPr>
                          <w:rFonts w:cs="Times New Roman"/>
                          <w:b/>
                          <w:bCs/>
                          <w:color w:val="000080"/>
                          <w:sz w:val="20"/>
                          <w:szCs w:val="20"/>
                        </w:rPr>
                        <w:t>зменение на договор</w:t>
                      </w:r>
                    </w:p>
                    <w:p w14:paraId="41AC84EA" w14:textId="77777777" w:rsidR="009E3B65" w:rsidRPr="004E0FD4" w:rsidRDefault="009E3B65" w:rsidP="009E3B65">
                      <w:pPr>
                        <w:tabs>
                          <w:tab w:val="left" w:pos="1701"/>
                        </w:tabs>
                        <w:ind w:left="540" w:right="75" w:hanging="180"/>
                        <w:rPr>
                          <w:color w:val="000080"/>
                          <w:sz w:val="16"/>
                          <w:szCs w:val="16"/>
                        </w:rPr>
                      </w:pPr>
                    </w:p>
                  </w:txbxContent>
                </v:textbox>
                <w10:wrap type="tight" anchorx="margin"/>
              </v:shape>
            </w:pict>
          </mc:Fallback>
        </mc:AlternateContent>
      </w:r>
      <w:r w:rsidRPr="009E3B65">
        <w:rPr>
          <w:rFonts w:ascii="Times New Roman" w:eastAsia="Times New Roman" w:hAnsi="Times New Roman" w:cs="Times New Roman"/>
          <w:sz w:val="24"/>
          <w:szCs w:val="24"/>
          <w:lang w:eastAsia="bg-BG"/>
        </w:rPr>
        <w:t>ЗОП предвижда няколко възможности за изменение на сключен договор за възлагане на обществена поръчка. В случай на предприемане на действия по изменение на сключения договор КП представя преди подписването му проекта на изменение на</w:t>
      </w:r>
      <w:r w:rsidR="00673DF6">
        <w:rPr>
          <w:rFonts w:ascii="Times New Roman" w:eastAsia="Times New Roman" w:hAnsi="Times New Roman" w:cs="Times New Roman"/>
          <w:sz w:val="24"/>
          <w:szCs w:val="24"/>
          <w:lang w:eastAsia="bg-BG"/>
        </w:rPr>
        <w:t xml:space="preserve"> договора</w:t>
      </w:r>
      <w:r w:rsidRPr="009E3B65">
        <w:rPr>
          <w:rFonts w:ascii="Times New Roman" w:eastAsia="Times New Roman" w:hAnsi="Times New Roman" w:cs="Times New Roman"/>
          <w:sz w:val="24"/>
          <w:szCs w:val="24"/>
          <w:lang w:eastAsia="bg-BG"/>
        </w:rPr>
        <w:t xml:space="preserve"> за осъществяване на предварителен контрол за законосъобразност. Проверяващият експерт трябва да изследва задълбочено налице ли е някоя от хипотезите, предвидени в член 116 от ЗОП. Проверката се осъществява в срок до </w:t>
      </w:r>
      <w:r w:rsidR="00FC6CAB">
        <w:rPr>
          <w:rFonts w:ascii="Times New Roman" w:eastAsia="Times New Roman" w:hAnsi="Times New Roman" w:cs="Times New Roman"/>
          <w:sz w:val="24"/>
          <w:szCs w:val="24"/>
          <w:lang w:eastAsia="bg-BG"/>
        </w:rPr>
        <w:t>10</w:t>
      </w:r>
      <w:r w:rsidRPr="009E3B65">
        <w:rPr>
          <w:rFonts w:ascii="Times New Roman" w:eastAsia="Times New Roman" w:hAnsi="Times New Roman" w:cs="Times New Roman"/>
          <w:sz w:val="24"/>
          <w:szCs w:val="24"/>
          <w:lang w:eastAsia="bg-BG"/>
        </w:rPr>
        <w:t xml:space="preserve"> работни дни от предоставяне на проекта за изменение от КП. За проверката се попълва контролен лист и се изготвя становище, което се предоставя на КП.</w:t>
      </w:r>
      <w:r w:rsidRPr="009E3B65">
        <w:rPr>
          <w:rFonts w:ascii="Times New Roman" w:eastAsia="Calibri" w:hAnsi="Times New Roman" w:cs="Times New Roman"/>
          <w:sz w:val="24"/>
          <w:szCs w:val="24"/>
          <w:lang w:val="en-US"/>
        </w:rPr>
        <w:t xml:space="preserve"> </w:t>
      </w:r>
    </w:p>
    <w:p w14:paraId="5740F9B6" w14:textId="73E56FD7" w:rsidR="00320934" w:rsidRPr="0029591B" w:rsidRDefault="009E3B65" w:rsidP="009E3B65">
      <w:pPr>
        <w:spacing w:before="120" w:after="120" w:line="240" w:lineRule="auto"/>
        <w:ind w:firstLine="714"/>
        <w:jc w:val="both"/>
        <w:rPr>
          <w:rFonts w:ascii="Times New Roman" w:eastAsia="Times New Roman" w:hAnsi="Times New Roman" w:cs="Times New Roman"/>
          <w:b/>
          <w:sz w:val="24"/>
          <w:szCs w:val="24"/>
          <w:lang w:eastAsia="bg-BG"/>
        </w:rPr>
      </w:pPr>
      <w:r w:rsidRPr="009E3B65">
        <w:rPr>
          <w:rFonts w:ascii="Times New Roman" w:eastAsia="Times New Roman" w:hAnsi="Times New Roman" w:cs="Times New Roman"/>
          <w:noProof/>
          <w:sz w:val="24"/>
          <w:szCs w:val="24"/>
          <w:lang w:eastAsia="bg-BG"/>
        </w:rPr>
        <w:lastRenderedPageBreak/>
        <mc:AlternateContent>
          <mc:Choice Requires="wps">
            <w:drawing>
              <wp:anchor distT="0" distB="0" distL="114300" distR="114300" simplePos="0" relativeHeight="251665408" behindDoc="1" locked="0" layoutInCell="1" allowOverlap="1" wp14:anchorId="0E738D1A" wp14:editId="01F8DF30">
                <wp:simplePos x="0" y="0"/>
                <wp:positionH relativeFrom="margin">
                  <wp:align>right</wp:align>
                </wp:positionH>
                <wp:positionV relativeFrom="paragraph">
                  <wp:posOffset>198755</wp:posOffset>
                </wp:positionV>
                <wp:extent cx="2169795" cy="1000125"/>
                <wp:effectExtent l="0" t="0" r="20955" b="28575"/>
                <wp:wrapTight wrapText="bothSides">
                  <wp:wrapPolygon edited="0">
                    <wp:start x="0" y="0"/>
                    <wp:lineTo x="0" y="21806"/>
                    <wp:lineTo x="21619" y="21806"/>
                    <wp:lineTo x="21619"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9795" cy="1000125"/>
                        </a:xfrm>
                        <a:prstGeom prst="rect">
                          <a:avLst/>
                        </a:prstGeom>
                        <a:solidFill>
                          <a:srgbClr val="C0C0C0"/>
                        </a:solidFill>
                        <a:ln w="12700">
                          <a:solidFill>
                            <a:srgbClr val="C0C0C0"/>
                          </a:solidFill>
                          <a:miter lim="800000"/>
                          <a:headEnd/>
                          <a:tailEnd/>
                        </a:ln>
                      </wps:spPr>
                      <wps:txbx>
                        <w:txbxContent>
                          <w:p w14:paraId="00954F64" w14:textId="77777777" w:rsidR="009E3B65" w:rsidRDefault="009E3B65" w:rsidP="009E3B65">
                            <w:pPr>
                              <w:tabs>
                                <w:tab w:val="left" w:pos="1701"/>
                              </w:tabs>
                              <w:ind w:left="284" w:right="75" w:hanging="284"/>
                              <w:jc w:val="center"/>
                              <w:rPr>
                                <w:rFonts w:cs="Times New Roman"/>
                                <w:b/>
                                <w:bCs/>
                                <w:color w:val="000080"/>
                                <w:sz w:val="20"/>
                                <w:szCs w:val="20"/>
                              </w:rPr>
                            </w:pPr>
                            <w:r>
                              <w:rPr>
                                <w:rFonts w:cs="Times New Roman"/>
                                <w:b/>
                                <w:bCs/>
                                <w:color w:val="000080"/>
                                <w:sz w:val="20"/>
                                <w:szCs w:val="20"/>
                              </w:rPr>
                              <w:t xml:space="preserve"> </w:t>
                            </w:r>
                            <w:r>
                              <w:rPr>
                                <w:rFonts w:cs="Times New Roman"/>
                                <w:b/>
                                <w:bCs/>
                                <w:color w:val="000080"/>
                                <w:sz w:val="20"/>
                                <w:szCs w:val="20"/>
                              </w:rPr>
                              <w:t>Приложение 3</w:t>
                            </w:r>
                          </w:p>
                          <w:p w14:paraId="7B135636" w14:textId="77777777" w:rsidR="009E3B65" w:rsidRPr="00E23362" w:rsidRDefault="009E3B65" w:rsidP="009E3B65">
                            <w:pPr>
                              <w:tabs>
                                <w:tab w:val="left" w:pos="1701"/>
                              </w:tabs>
                              <w:ind w:left="284" w:right="75" w:hanging="284"/>
                              <w:jc w:val="center"/>
                              <w:rPr>
                                <w:rFonts w:cs="Times New Roman"/>
                                <w:b/>
                                <w:bCs/>
                                <w:color w:val="000080"/>
                                <w:sz w:val="20"/>
                                <w:szCs w:val="20"/>
                              </w:rPr>
                            </w:pPr>
                            <w:r>
                              <w:rPr>
                                <w:rFonts w:cs="Times New Roman"/>
                                <w:b/>
                                <w:bCs/>
                                <w:color w:val="000080"/>
                                <w:sz w:val="20"/>
                                <w:szCs w:val="20"/>
                              </w:rPr>
                              <w:t>(от 3.1. до 3.14)</w:t>
                            </w:r>
                          </w:p>
                          <w:p w14:paraId="2FDF603D" w14:textId="77777777" w:rsidR="009E3B65" w:rsidRPr="004E0FD4" w:rsidRDefault="009E3B65" w:rsidP="009E3B65">
                            <w:pPr>
                              <w:tabs>
                                <w:tab w:val="left" w:pos="1701"/>
                              </w:tabs>
                              <w:ind w:left="284" w:right="75" w:hanging="284"/>
                              <w:jc w:val="center"/>
                              <w:rPr>
                                <w:color w:val="000080"/>
                                <w:sz w:val="16"/>
                                <w:szCs w:val="16"/>
                              </w:rPr>
                            </w:pPr>
                            <w:r>
                              <w:rPr>
                                <w:rFonts w:cs="Times New Roman"/>
                                <w:b/>
                                <w:bCs/>
                                <w:color w:val="000080"/>
                                <w:sz w:val="20"/>
                                <w:szCs w:val="20"/>
                              </w:rPr>
                              <w:t>К</w:t>
                            </w:r>
                            <w:r w:rsidRPr="007C1FD4">
                              <w:rPr>
                                <w:rFonts w:cs="Times New Roman"/>
                                <w:b/>
                                <w:bCs/>
                                <w:color w:val="000080"/>
                                <w:sz w:val="20"/>
                                <w:szCs w:val="20"/>
                              </w:rPr>
                              <w:t>онтролн</w:t>
                            </w:r>
                            <w:r>
                              <w:rPr>
                                <w:rFonts w:cs="Times New Roman"/>
                                <w:b/>
                                <w:bCs/>
                                <w:color w:val="000080"/>
                                <w:sz w:val="20"/>
                                <w:szCs w:val="20"/>
                              </w:rPr>
                              <w:t>и</w:t>
                            </w:r>
                            <w:r w:rsidRPr="007C1FD4">
                              <w:rPr>
                                <w:rFonts w:cs="Times New Roman"/>
                                <w:b/>
                                <w:bCs/>
                                <w:color w:val="000080"/>
                                <w:sz w:val="20"/>
                                <w:szCs w:val="20"/>
                              </w:rPr>
                              <w:t xml:space="preserve"> лист</w:t>
                            </w:r>
                            <w:r>
                              <w:rPr>
                                <w:rFonts w:cs="Times New Roman"/>
                                <w:b/>
                                <w:bCs/>
                                <w:color w:val="000080"/>
                                <w:sz w:val="20"/>
                                <w:szCs w:val="20"/>
                              </w:rPr>
                              <w:t>ове</w:t>
                            </w:r>
                            <w:r w:rsidRPr="007C1FD4">
                              <w:rPr>
                                <w:rFonts w:cs="Times New Roman"/>
                                <w:b/>
                                <w:bCs/>
                                <w:color w:val="000080"/>
                                <w:sz w:val="20"/>
                                <w:szCs w:val="20"/>
                              </w:rPr>
                              <w:t xml:space="preserve"> за </w:t>
                            </w:r>
                            <w:r>
                              <w:rPr>
                                <w:rFonts w:cs="Times New Roman"/>
                                <w:b/>
                                <w:bCs/>
                                <w:color w:val="000080"/>
                                <w:sz w:val="20"/>
                                <w:szCs w:val="20"/>
                              </w:rPr>
                              <w:t>последващ контрол на обществени поръчки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38D1A" id="Text Box 9" o:spid="_x0000_s1027" type="#_x0000_t202" style="position:absolute;left:0;text-align:left;margin-left:119.65pt;margin-top:15.65pt;width:170.85pt;height:78.75pt;z-index:-2516510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" fillcolor="silver" strokecolor="silver" strokeweight="1pt">
                <v:textbox inset="0,0,0,0">
                  <w:txbxContent>
                    <w:p w14:paraId="00954F64" w14:textId="77777777" w:rsidR="009E3B65" w:rsidRDefault="009E3B65" w:rsidP="009E3B65">
                      <w:pPr>
                        <w:tabs>
                          <w:tab w:val="left" w:pos="1701"/>
                        </w:tabs>
                        <w:ind w:left="284" w:right="75" w:hanging="284"/>
                        <w:jc w:val="center"/>
                        <w:rPr>
                          <w:rFonts w:cs="Times New Roman"/>
                          <w:b/>
                          <w:bCs/>
                          <w:color w:val="000080"/>
                          <w:sz w:val="20"/>
                          <w:szCs w:val="20"/>
                        </w:rPr>
                      </w:pPr>
                      <w:r>
                        <w:rPr>
                          <w:rFonts w:cs="Times New Roman"/>
                          <w:b/>
                          <w:bCs/>
                          <w:color w:val="000080"/>
                          <w:sz w:val="20"/>
                          <w:szCs w:val="20"/>
                        </w:rPr>
                        <w:t xml:space="preserve"> Приложение 3</w:t>
                      </w:r>
                    </w:p>
                    <w:p w14:paraId="7B135636" w14:textId="77777777" w:rsidR="009E3B65" w:rsidRPr="00E23362" w:rsidRDefault="009E3B65" w:rsidP="009E3B65">
                      <w:pPr>
                        <w:tabs>
                          <w:tab w:val="left" w:pos="1701"/>
                        </w:tabs>
                        <w:ind w:left="284" w:right="75" w:hanging="284"/>
                        <w:jc w:val="center"/>
                        <w:rPr>
                          <w:rFonts w:cs="Times New Roman"/>
                          <w:b/>
                          <w:bCs/>
                          <w:color w:val="000080"/>
                          <w:sz w:val="20"/>
                          <w:szCs w:val="20"/>
                        </w:rPr>
                      </w:pPr>
                      <w:r>
                        <w:rPr>
                          <w:rFonts w:cs="Times New Roman"/>
                          <w:b/>
                          <w:bCs/>
                          <w:color w:val="000080"/>
                          <w:sz w:val="20"/>
                          <w:szCs w:val="20"/>
                        </w:rPr>
                        <w:t>(от 3.1. до 3.14)</w:t>
                      </w:r>
                    </w:p>
                    <w:p w14:paraId="2FDF603D" w14:textId="77777777" w:rsidR="009E3B65" w:rsidRPr="004E0FD4" w:rsidRDefault="009E3B65" w:rsidP="009E3B65">
                      <w:pPr>
                        <w:tabs>
                          <w:tab w:val="left" w:pos="1701"/>
                        </w:tabs>
                        <w:ind w:left="284" w:right="75" w:hanging="284"/>
                        <w:jc w:val="center"/>
                        <w:rPr>
                          <w:color w:val="000080"/>
                          <w:sz w:val="16"/>
                          <w:szCs w:val="16"/>
                        </w:rPr>
                      </w:pPr>
                      <w:r>
                        <w:rPr>
                          <w:rFonts w:cs="Times New Roman"/>
                          <w:b/>
                          <w:bCs/>
                          <w:color w:val="000080"/>
                          <w:sz w:val="20"/>
                          <w:szCs w:val="20"/>
                        </w:rPr>
                        <w:t>К</w:t>
                      </w:r>
                      <w:r w:rsidRPr="007C1FD4">
                        <w:rPr>
                          <w:rFonts w:cs="Times New Roman"/>
                          <w:b/>
                          <w:bCs/>
                          <w:color w:val="000080"/>
                          <w:sz w:val="20"/>
                          <w:szCs w:val="20"/>
                        </w:rPr>
                        <w:t>онтролн</w:t>
                      </w:r>
                      <w:r>
                        <w:rPr>
                          <w:rFonts w:cs="Times New Roman"/>
                          <w:b/>
                          <w:bCs/>
                          <w:color w:val="000080"/>
                          <w:sz w:val="20"/>
                          <w:szCs w:val="20"/>
                        </w:rPr>
                        <w:t>и</w:t>
                      </w:r>
                      <w:r w:rsidRPr="007C1FD4">
                        <w:rPr>
                          <w:rFonts w:cs="Times New Roman"/>
                          <w:b/>
                          <w:bCs/>
                          <w:color w:val="000080"/>
                          <w:sz w:val="20"/>
                          <w:szCs w:val="20"/>
                        </w:rPr>
                        <w:t xml:space="preserve"> лист</w:t>
                      </w:r>
                      <w:r>
                        <w:rPr>
                          <w:rFonts w:cs="Times New Roman"/>
                          <w:b/>
                          <w:bCs/>
                          <w:color w:val="000080"/>
                          <w:sz w:val="20"/>
                          <w:szCs w:val="20"/>
                        </w:rPr>
                        <w:t>ове</w:t>
                      </w:r>
                      <w:r w:rsidRPr="007C1FD4">
                        <w:rPr>
                          <w:rFonts w:cs="Times New Roman"/>
                          <w:b/>
                          <w:bCs/>
                          <w:color w:val="000080"/>
                          <w:sz w:val="20"/>
                          <w:szCs w:val="20"/>
                        </w:rPr>
                        <w:t xml:space="preserve"> за </w:t>
                      </w:r>
                      <w:r>
                        <w:rPr>
                          <w:rFonts w:cs="Times New Roman"/>
                          <w:b/>
                          <w:bCs/>
                          <w:color w:val="000080"/>
                          <w:sz w:val="20"/>
                          <w:szCs w:val="20"/>
                        </w:rPr>
                        <w:t>последващ контрол на обществени поръчки</w:t>
                      </w:r>
                    </w:p>
                  </w:txbxContent>
                </v:textbox>
                <w10:wrap type="tight" anchorx="margin"/>
              </v:shape>
            </w:pict>
          </mc:Fallback>
        </mc:AlternateContent>
      </w:r>
      <w:r w:rsidRPr="009E3B65">
        <w:rPr>
          <w:rFonts w:ascii="Times New Roman" w:eastAsia="Times New Roman" w:hAnsi="Times New Roman" w:cs="Times New Roman"/>
          <w:sz w:val="24"/>
          <w:szCs w:val="24"/>
          <w:lang w:eastAsia="bg-BG"/>
        </w:rPr>
        <w:t xml:space="preserve"> </w:t>
      </w:r>
      <w:r w:rsidR="006051A0" w:rsidRPr="0029591B">
        <w:rPr>
          <w:rFonts w:ascii="Times New Roman" w:eastAsia="Times New Roman" w:hAnsi="Times New Roman" w:cs="Times New Roman"/>
          <w:b/>
          <w:sz w:val="24"/>
          <w:szCs w:val="24"/>
          <w:lang w:eastAsia="bg-BG"/>
        </w:rPr>
        <w:t xml:space="preserve">2. </w:t>
      </w:r>
      <w:r w:rsidR="00A130D2" w:rsidRPr="0029591B">
        <w:rPr>
          <w:rFonts w:ascii="Times New Roman" w:eastAsia="Times New Roman" w:hAnsi="Times New Roman" w:cs="Times New Roman"/>
          <w:b/>
          <w:sz w:val="24"/>
          <w:szCs w:val="24"/>
          <w:lang w:eastAsia="bg-BG"/>
        </w:rPr>
        <w:t>П</w:t>
      </w:r>
      <w:r w:rsidRPr="0029591B">
        <w:rPr>
          <w:rFonts w:ascii="Times New Roman" w:eastAsia="Times New Roman" w:hAnsi="Times New Roman" w:cs="Times New Roman"/>
          <w:b/>
          <w:sz w:val="24"/>
          <w:szCs w:val="24"/>
          <w:lang w:eastAsia="bg-BG"/>
        </w:rPr>
        <w:t>оследващ контрол</w:t>
      </w:r>
      <w:r w:rsidR="003A11C0" w:rsidRPr="0029591B">
        <w:rPr>
          <w:rFonts w:ascii="Times New Roman" w:eastAsia="Times New Roman" w:hAnsi="Times New Roman" w:cs="Times New Roman"/>
          <w:b/>
          <w:sz w:val="24"/>
          <w:szCs w:val="24"/>
          <w:lang w:eastAsia="bg-BG"/>
        </w:rPr>
        <w:t xml:space="preserve"> се осъществява</w:t>
      </w:r>
      <w:r w:rsidR="00B02E7C" w:rsidRPr="0029591B">
        <w:rPr>
          <w:b/>
        </w:rPr>
        <w:t xml:space="preserve"> </w:t>
      </w:r>
      <w:r w:rsidR="00753F63" w:rsidRPr="00C82470">
        <w:rPr>
          <w:rFonts w:ascii="Times New Roman" w:eastAsia="Times New Roman" w:hAnsi="Times New Roman" w:cs="Times New Roman"/>
          <w:b/>
          <w:sz w:val="24"/>
          <w:szCs w:val="24"/>
          <w:lang w:eastAsia="bg-BG"/>
        </w:rPr>
        <w:t>при подаден</w:t>
      </w:r>
      <w:r w:rsidR="006770D1">
        <w:rPr>
          <w:rFonts w:ascii="Times New Roman" w:eastAsia="Times New Roman" w:hAnsi="Times New Roman" w:cs="Times New Roman"/>
          <w:b/>
          <w:sz w:val="24"/>
          <w:szCs w:val="24"/>
          <w:lang w:eastAsia="bg-BG"/>
        </w:rPr>
        <w:t xml:space="preserve"> </w:t>
      </w:r>
      <w:r w:rsidR="00320934" w:rsidRPr="0029591B">
        <w:rPr>
          <w:rFonts w:ascii="Times New Roman" w:eastAsia="Times New Roman" w:hAnsi="Times New Roman" w:cs="Times New Roman"/>
          <w:b/>
          <w:sz w:val="24"/>
          <w:szCs w:val="24"/>
          <w:lang w:eastAsia="bg-BG"/>
        </w:rPr>
        <w:t>ФТО</w:t>
      </w:r>
      <w:r w:rsidR="003271D7">
        <w:rPr>
          <w:rFonts w:ascii="Times New Roman" w:eastAsia="Times New Roman" w:hAnsi="Times New Roman" w:cs="Times New Roman"/>
          <w:b/>
          <w:sz w:val="24"/>
          <w:szCs w:val="24"/>
          <w:lang w:eastAsia="bg-BG"/>
        </w:rPr>
        <w:t xml:space="preserve"> с включени разходи по</w:t>
      </w:r>
      <w:r w:rsidR="00320934" w:rsidRPr="0029591B">
        <w:rPr>
          <w:rFonts w:ascii="Times New Roman" w:eastAsia="Times New Roman" w:hAnsi="Times New Roman" w:cs="Times New Roman"/>
          <w:b/>
          <w:sz w:val="24"/>
          <w:szCs w:val="24"/>
          <w:lang w:eastAsia="bg-BG"/>
        </w:rPr>
        <w:t>:</w:t>
      </w:r>
    </w:p>
    <w:p w14:paraId="72B8AC42" w14:textId="349735BE" w:rsidR="009E3B65" w:rsidRPr="009E3B65" w:rsidRDefault="00320934" w:rsidP="009E3B65">
      <w:pPr>
        <w:spacing w:before="120" w:after="120" w:line="240" w:lineRule="auto"/>
        <w:ind w:firstLine="714"/>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а)</w:t>
      </w:r>
      <w:r w:rsidR="009E3B65" w:rsidRPr="009E3B65">
        <w:rPr>
          <w:rFonts w:ascii="Times New Roman" w:eastAsia="Times New Roman" w:hAnsi="Times New Roman" w:cs="Times New Roman"/>
          <w:sz w:val="24"/>
          <w:szCs w:val="24"/>
          <w:lang w:eastAsia="bg-BG"/>
        </w:rPr>
        <w:t xml:space="preserve"> приключили процедури за избор на изпълнител</w:t>
      </w:r>
      <w:r w:rsidR="00AD0D2C" w:rsidRPr="00AD0D2C">
        <w:rPr>
          <w:rFonts w:ascii="Times New Roman" w:eastAsia="Times New Roman" w:hAnsi="Times New Roman" w:cs="Times New Roman"/>
          <w:bCs/>
          <w:sz w:val="24"/>
          <w:szCs w:val="24"/>
          <w:lang w:eastAsia="bg-BG"/>
        </w:rPr>
        <w:t xml:space="preserve">, чиито предмет е съществен за </w:t>
      </w:r>
      <w:r w:rsidR="00AD0D2C">
        <w:rPr>
          <w:rFonts w:ascii="Times New Roman" w:eastAsia="Times New Roman" w:hAnsi="Times New Roman" w:cs="Times New Roman"/>
          <w:bCs/>
          <w:sz w:val="24"/>
          <w:szCs w:val="24"/>
          <w:lang w:eastAsia="bg-BG"/>
        </w:rPr>
        <w:t>инвестицията</w:t>
      </w:r>
      <w:r w:rsidR="00AD0D2C" w:rsidRPr="00AD0D2C">
        <w:rPr>
          <w:rFonts w:ascii="Times New Roman" w:eastAsia="Times New Roman" w:hAnsi="Times New Roman" w:cs="Times New Roman"/>
          <w:sz w:val="24"/>
          <w:szCs w:val="24"/>
          <w:lang w:eastAsia="bg-BG"/>
        </w:rPr>
        <w:t xml:space="preserve"> </w:t>
      </w:r>
      <w:r w:rsidR="00AD0D2C" w:rsidRPr="00AD0D2C">
        <w:rPr>
          <w:rFonts w:ascii="Times New Roman" w:eastAsia="Times New Roman" w:hAnsi="Times New Roman" w:cs="Times New Roman"/>
          <w:bCs/>
          <w:sz w:val="24"/>
          <w:szCs w:val="24"/>
          <w:lang w:eastAsia="bg-BG"/>
        </w:rPr>
        <w:t>и размера на финансовата подкрепа е съществена част от стойността на договора с изпълнител</w:t>
      </w:r>
      <w:r w:rsidR="00AD0D2C">
        <w:rPr>
          <w:rFonts w:ascii="Times New Roman" w:eastAsia="Times New Roman" w:hAnsi="Times New Roman" w:cs="Times New Roman"/>
          <w:bCs/>
          <w:sz w:val="24"/>
          <w:szCs w:val="24"/>
          <w:lang w:eastAsia="bg-BG"/>
        </w:rPr>
        <w:t>,</w:t>
      </w:r>
      <w:r w:rsidR="009E3B65" w:rsidRPr="009E3B65">
        <w:rPr>
          <w:rFonts w:ascii="Times New Roman" w:eastAsia="Times New Roman" w:hAnsi="Times New Roman" w:cs="Times New Roman"/>
          <w:sz w:val="24"/>
          <w:szCs w:val="24"/>
          <w:lang w:eastAsia="bg-BG"/>
        </w:rPr>
        <w:t xml:space="preserve"> по реда на ЗОП или на ПМС № 80 от 2022 г. </w:t>
      </w:r>
      <w:r w:rsidR="009E3B65" w:rsidRPr="009E3B65">
        <w:rPr>
          <w:rFonts w:ascii="Times New Roman" w:eastAsia="Times New Roman" w:hAnsi="Times New Roman" w:cs="Times New Roman"/>
          <w:sz w:val="24"/>
          <w:szCs w:val="24"/>
          <w:lang w:val="en-US" w:eastAsia="bg-BG"/>
        </w:rPr>
        <w:t xml:space="preserve">за </w:t>
      </w:r>
      <w:proofErr w:type="spellStart"/>
      <w:r w:rsidR="009E3B65" w:rsidRPr="009E3B65">
        <w:rPr>
          <w:rFonts w:ascii="Times New Roman" w:eastAsia="Times New Roman" w:hAnsi="Times New Roman" w:cs="Times New Roman"/>
          <w:bCs/>
          <w:sz w:val="24"/>
          <w:szCs w:val="24"/>
          <w:lang w:val="en-US" w:eastAsia="bg-BG"/>
        </w:rPr>
        <w:t>определяне</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на</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правилата</w:t>
      </w:r>
      <w:proofErr w:type="spellEnd"/>
      <w:r w:rsidR="009E3B65" w:rsidRPr="009E3B65">
        <w:rPr>
          <w:rFonts w:ascii="Times New Roman" w:eastAsia="Times New Roman" w:hAnsi="Times New Roman" w:cs="Times New Roman"/>
          <w:bCs/>
          <w:sz w:val="24"/>
          <w:szCs w:val="24"/>
          <w:lang w:val="en-US" w:eastAsia="bg-BG"/>
        </w:rPr>
        <w:t xml:space="preserve"> за </w:t>
      </w:r>
      <w:proofErr w:type="spellStart"/>
      <w:r w:rsidR="009E3B65" w:rsidRPr="009E3B65">
        <w:rPr>
          <w:rFonts w:ascii="Times New Roman" w:eastAsia="Times New Roman" w:hAnsi="Times New Roman" w:cs="Times New Roman"/>
          <w:bCs/>
          <w:sz w:val="24"/>
          <w:szCs w:val="24"/>
          <w:lang w:val="en-US" w:eastAsia="bg-BG"/>
        </w:rPr>
        <w:t>възлагане</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на</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дейности</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по</w:t>
      </w:r>
      <w:proofErr w:type="spellEnd"/>
      <w:r w:rsidR="009E3B65" w:rsidRPr="009E3B65">
        <w:rPr>
          <w:rFonts w:ascii="Times New Roman" w:eastAsia="Times New Roman" w:hAnsi="Times New Roman" w:cs="Times New Roman"/>
          <w:bCs/>
          <w:sz w:val="24"/>
          <w:szCs w:val="24"/>
          <w:lang w:val="en-US" w:eastAsia="bg-BG"/>
        </w:rPr>
        <w:t xml:space="preserve"> </w:t>
      </w:r>
      <w:r w:rsidR="009E3B65" w:rsidRPr="009E3B65">
        <w:rPr>
          <w:rFonts w:ascii="Times New Roman" w:eastAsia="Times New Roman" w:hAnsi="Times New Roman" w:cs="Times New Roman"/>
          <w:bCs/>
          <w:sz w:val="24"/>
          <w:szCs w:val="24"/>
          <w:lang w:eastAsia="bg-BG"/>
        </w:rPr>
        <w:t>инвестиции</w:t>
      </w:r>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от</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крайни</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получатели</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на</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средства</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от</w:t>
      </w:r>
      <w:proofErr w:type="spellEnd"/>
      <w:r w:rsidR="009E3B65" w:rsidRPr="009E3B65">
        <w:rPr>
          <w:rFonts w:ascii="Times New Roman" w:eastAsia="Times New Roman" w:hAnsi="Times New Roman" w:cs="Times New Roman"/>
          <w:bCs/>
          <w:sz w:val="24"/>
          <w:szCs w:val="24"/>
          <w:lang w:val="en-US" w:eastAsia="bg-BG"/>
        </w:rPr>
        <w:t xml:space="preserve"> </w:t>
      </w:r>
      <w:proofErr w:type="spellStart"/>
      <w:r w:rsidR="009E3B65" w:rsidRPr="009E3B65">
        <w:rPr>
          <w:rFonts w:ascii="Times New Roman" w:eastAsia="Times New Roman" w:hAnsi="Times New Roman" w:cs="Times New Roman"/>
          <w:bCs/>
          <w:sz w:val="24"/>
          <w:szCs w:val="24"/>
          <w:lang w:val="en-US" w:eastAsia="bg-BG"/>
        </w:rPr>
        <w:t>Механизма</w:t>
      </w:r>
      <w:proofErr w:type="spellEnd"/>
      <w:r w:rsidR="009E3B65" w:rsidRPr="009E3B65">
        <w:rPr>
          <w:rFonts w:ascii="Times New Roman" w:eastAsia="Times New Roman" w:hAnsi="Times New Roman" w:cs="Times New Roman"/>
          <w:bCs/>
          <w:sz w:val="24"/>
          <w:szCs w:val="24"/>
          <w:lang w:val="en-US" w:eastAsia="bg-BG"/>
        </w:rPr>
        <w:t xml:space="preserve"> за </w:t>
      </w:r>
      <w:proofErr w:type="spellStart"/>
      <w:r w:rsidR="009E3B65" w:rsidRPr="009E3B65">
        <w:rPr>
          <w:rFonts w:ascii="Times New Roman" w:eastAsia="Times New Roman" w:hAnsi="Times New Roman" w:cs="Times New Roman"/>
          <w:bCs/>
          <w:sz w:val="24"/>
          <w:szCs w:val="24"/>
          <w:lang w:val="en-US" w:eastAsia="bg-BG"/>
        </w:rPr>
        <w:t>възстановяване</w:t>
      </w:r>
      <w:proofErr w:type="spellEnd"/>
      <w:r w:rsidR="009E3B65" w:rsidRPr="009E3B65">
        <w:rPr>
          <w:rFonts w:ascii="Times New Roman" w:eastAsia="Times New Roman" w:hAnsi="Times New Roman" w:cs="Times New Roman"/>
          <w:bCs/>
          <w:sz w:val="24"/>
          <w:szCs w:val="24"/>
          <w:lang w:val="en-US" w:eastAsia="bg-BG"/>
        </w:rPr>
        <w:t xml:space="preserve"> и </w:t>
      </w:r>
      <w:proofErr w:type="spellStart"/>
      <w:r w:rsidR="009E3B65" w:rsidRPr="009E3B65">
        <w:rPr>
          <w:rFonts w:ascii="Times New Roman" w:eastAsia="Times New Roman" w:hAnsi="Times New Roman" w:cs="Times New Roman"/>
          <w:bCs/>
          <w:sz w:val="24"/>
          <w:szCs w:val="24"/>
          <w:lang w:val="en-US" w:eastAsia="bg-BG"/>
        </w:rPr>
        <w:t>устойчивост</w:t>
      </w:r>
      <w:proofErr w:type="spellEnd"/>
      <w:r w:rsidR="009E3B65" w:rsidRPr="009E3B65">
        <w:rPr>
          <w:rFonts w:ascii="Times New Roman" w:eastAsia="Times New Roman" w:hAnsi="Times New Roman" w:cs="Times New Roman"/>
          <w:sz w:val="24"/>
          <w:szCs w:val="24"/>
          <w:lang w:eastAsia="bg-BG"/>
        </w:rPr>
        <w:t xml:space="preserve"> въз основа на оценка на риска</w:t>
      </w:r>
      <w:r w:rsidR="0029591B">
        <w:rPr>
          <w:rFonts w:ascii="Times New Roman" w:eastAsia="Times New Roman" w:hAnsi="Times New Roman" w:cs="Times New Roman"/>
          <w:sz w:val="24"/>
          <w:szCs w:val="24"/>
          <w:lang w:eastAsia="bg-BG"/>
        </w:rPr>
        <w:t>.</w:t>
      </w:r>
      <w:r w:rsidR="009E3B65" w:rsidRPr="009E3B65">
        <w:rPr>
          <w:rFonts w:ascii="Times New Roman" w:eastAsia="Times New Roman" w:hAnsi="Times New Roman" w:cs="Times New Roman"/>
          <w:sz w:val="24"/>
          <w:szCs w:val="24"/>
          <w:lang w:eastAsia="bg-BG"/>
        </w:rPr>
        <w:t xml:space="preserve"> Оценката включва следните критерии: </w:t>
      </w:r>
    </w:p>
    <w:p w14:paraId="31B54475" w14:textId="77777777" w:rsidR="009E3B65" w:rsidRPr="009E3B65" w:rsidRDefault="009E3B65" w:rsidP="009E3B65">
      <w:pPr>
        <w:numPr>
          <w:ilvl w:val="0"/>
          <w:numId w:val="2"/>
        </w:numPr>
        <w:spacing w:before="120" w:after="120" w:line="240" w:lineRule="auto"/>
        <w:contextualSpacing/>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Брой подадени оферти (по-малък от 3);</w:t>
      </w:r>
    </w:p>
    <w:p w14:paraId="12100650" w14:textId="77777777" w:rsidR="009E3B65" w:rsidRPr="009E3B65" w:rsidRDefault="009E3B65" w:rsidP="009E3B65">
      <w:pPr>
        <w:numPr>
          <w:ilvl w:val="0"/>
          <w:numId w:val="2"/>
        </w:numPr>
        <w:spacing w:before="120" w:after="120" w:line="240" w:lineRule="auto"/>
        <w:contextualSpacing/>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Съотношение на отстранени участници към подадени оферти (коефициент по-голям от 0,5);</w:t>
      </w:r>
    </w:p>
    <w:p w14:paraId="0BCEDB52" w14:textId="77777777" w:rsidR="009E3B65" w:rsidRPr="009E3B65" w:rsidRDefault="009E3B65" w:rsidP="009E3B65">
      <w:pPr>
        <w:numPr>
          <w:ilvl w:val="0"/>
          <w:numId w:val="2"/>
        </w:numPr>
        <w:spacing w:before="120" w:after="120" w:line="240" w:lineRule="auto"/>
        <w:contextualSpacing/>
        <w:jc w:val="both"/>
        <w:rPr>
          <w:rFonts w:ascii="Times New Roman" w:eastAsia="Times New Roman" w:hAnsi="Times New Roman" w:cs="Times New Roman"/>
          <w:sz w:val="24"/>
          <w:szCs w:val="24"/>
          <w:lang w:eastAsia="bg-BG"/>
        </w:rPr>
      </w:pPr>
      <w:r w:rsidRPr="009E3B65">
        <w:rPr>
          <w:rFonts w:ascii="Times New Roman" w:eastAsia="Times New Roman" w:hAnsi="Times New Roman" w:cs="Times New Roman"/>
          <w:sz w:val="24"/>
          <w:szCs w:val="24"/>
          <w:lang w:eastAsia="bg-BG"/>
        </w:rPr>
        <w:t>Съотношение между крайната стойност и прогнозната (над 90% и под 50%).</w:t>
      </w:r>
    </w:p>
    <w:p w14:paraId="19C08B5E" w14:textId="45F1A7D3" w:rsidR="00190F43" w:rsidRPr="00190F43" w:rsidRDefault="009E3B65" w:rsidP="00190F43">
      <w:pPr>
        <w:spacing w:before="120" w:after="120" w:line="240" w:lineRule="auto"/>
        <w:ind w:firstLine="714"/>
        <w:jc w:val="both"/>
        <w:rPr>
          <w:rFonts w:ascii="Times New Roman" w:eastAsia="Calibri" w:hAnsi="Times New Roman" w:cs="Times New Roman"/>
          <w:sz w:val="24"/>
          <w:szCs w:val="24"/>
        </w:rPr>
      </w:pPr>
      <w:r w:rsidRPr="009E3B65">
        <w:rPr>
          <w:rFonts w:ascii="Times New Roman" w:eastAsia="Calibri" w:hAnsi="Times New Roman" w:cs="Times New Roman"/>
          <w:sz w:val="24"/>
          <w:szCs w:val="24"/>
        </w:rPr>
        <w:t>При реализация на поне един от горните критерии или друг критерий, допълнително включен по преценка на СНД</w:t>
      </w:r>
      <w:r w:rsidR="00E23DF2">
        <w:rPr>
          <w:rFonts w:ascii="Times New Roman" w:eastAsia="Calibri" w:hAnsi="Times New Roman" w:cs="Times New Roman"/>
          <w:sz w:val="24"/>
          <w:szCs w:val="24"/>
        </w:rPr>
        <w:t>/ДНФ</w:t>
      </w:r>
      <w:r w:rsidRPr="009E3B65">
        <w:rPr>
          <w:rFonts w:ascii="Times New Roman" w:eastAsia="Calibri" w:hAnsi="Times New Roman" w:cs="Times New Roman"/>
          <w:sz w:val="24"/>
          <w:szCs w:val="24"/>
        </w:rPr>
        <w:t xml:space="preserve">, свързан със спецификата на съответната поръчка, се пристъпва към проверка. Проверката се осъществява в срок до </w:t>
      </w:r>
      <w:r w:rsidR="00F355A7">
        <w:rPr>
          <w:rFonts w:ascii="Times New Roman" w:eastAsia="Calibri" w:hAnsi="Times New Roman" w:cs="Times New Roman"/>
          <w:sz w:val="24"/>
          <w:szCs w:val="24"/>
        </w:rPr>
        <w:t>30</w:t>
      </w:r>
      <w:r w:rsidR="00F355A7" w:rsidRPr="009E3B65">
        <w:rPr>
          <w:rFonts w:ascii="Times New Roman" w:eastAsia="Calibri" w:hAnsi="Times New Roman" w:cs="Times New Roman"/>
          <w:sz w:val="24"/>
          <w:szCs w:val="24"/>
        </w:rPr>
        <w:t xml:space="preserve"> </w:t>
      </w:r>
      <w:r w:rsidRPr="009E3B65">
        <w:rPr>
          <w:rFonts w:ascii="Times New Roman" w:eastAsia="Calibri" w:hAnsi="Times New Roman" w:cs="Times New Roman"/>
          <w:sz w:val="24"/>
          <w:szCs w:val="24"/>
        </w:rPr>
        <w:t>работни дни от предоставянето на пълната документацията по избора от КП.</w:t>
      </w:r>
      <w:r w:rsidR="00190F43" w:rsidRPr="00190F43">
        <w:rPr>
          <w:rFonts w:ascii="Times New Roman" w:eastAsia="Calibri" w:hAnsi="Times New Roman" w:cs="Times New Roman"/>
          <w:sz w:val="24"/>
          <w:szCs w:val="24"/>
        </w:rPr>
        <w:t xml:space="preserve"> В случай на установена липса на документи необходими за осъществяването на контрола</w:t>
      </w:r>
      <w:r w:rsidR="00190F43" w:rsidRPr="00190F43">
        <w:rPr>
          <w:rFonts w:ascii="Times New Roman" w:eastAsia="Calibri" w:hAnsi="Times New Roman" w:cs="Times New Roman"/>
          <w:sz w:val="24"/>
          <w:szCs w:val="24"/>
          <w:lang w:val="en-US"/>
        </w:rPr>
        <w:t xml:space="preserve"> </w:t>
      </w:r>
      <w:r w:rsidR="00190F43" w:rsidRPr="00190F43">
        <w:rPr>
          <w:rFonts w:ascii="Times New Roman" w:eastAsia="Calibri" w:hAnsi="Times New Roman" w:cs="Times New Roman"/>
          <w:sz w:val="24"/>
          <w:szCs w:val="24"/>
        </w:rPr>
        <w:t>чрез ИС на ПВУ се  изискват липсващите документи от КП. Срокът за осъществяване на последващия контрол спира да тече до представянето на документите.</w:t>
      </w:r>
    </w:p>
    <w:p w14:paraId="0AAF5FEE" w14:textId="77777777" w:rsidR="009E3B65" w:rsidRPr="009E3B65" w:rsidRDefault="009E3B65" w:rsidP="009E3B65">
      <w:pPr>
        <w:spacing w:before="120" w:after="120" w:line="240" w:lineRule="auto"/>
        <w:ind w:firstLine="714"/>
        <w:jc w:val="both"/>
        <w:rPr>
          <w:rFonts w:ascii="Times New Roman" w:eastAsia="Calibri" w:hAnsi="Times New Roman" w:cs="Times New Roman"/>
          <w:sz w:val="24"/>
          <w:szCs w:val="24"/>
        </w:rPr>
      </w:pPr>
    </w:p>
    <w:p w14:paraId="04FFEB95" w14:textId="77777777" w:rsidR="009E3B65" w:rsidRDefault="009E3B65" w:rsidP="009E3B65">
      <w:pPr>
        <w:spacing w:after="120" w:line="240" w:lineRule="auto"/>
        <w:ind w:firstLine="714"/>
        <w:jc w:val="both"/>
        <w:rPr>
          <w:rFonts w:ascii="Times New Roman" w:eastAsia="Calibri" w:hAnsi="Times New Roman" w:cs="Times New Roman"/>
          <w:sz w:val="24"/>
          <w:szCs w:val="24"/>
        </w:rPr>
      </w:pPr>
      <w:r w:rsidRPr="009E3B65">
        <w:rPr>
          <w:rFonts w:ascii="Times New Roman" w:eastAsia="Calibri" w:hAnsi="Times New Roman" w:cs="Times New Roman"/>
          <w:sz w:val="24"/>
          <w:szCs w:val="24"/>
        </w:rPr>
        <w:t>В случай, че процедурата е била обект на предварителен контрол, се взема предвид становището, с което предварителният контрол е приключил, като проверяващият експерт отчита заключението от предварителния контрол.</w:t>
      </w:r>
    </w:p>
    <w:p w14:paraId="68FD567E" w14:textId="72C2897B" w:rsidR="00FE356D" w:rsidRDefault="00FE356D" w:rsidP="009E3B65">
      <w:pPr>
        <w:spacing w:after="120" w:line="240" w:lineRule="auto"/>
        <w:ind w:firstLine="714"/>
        <w:jc w:val="both"/>
        <w:rPr>
          <w:rFonts w:ascii="Times New Roman" w:eastAsia="Calibri" w:hAnsi="Times New Roman" w:cs="Times New Roman"/>
          <w:sz w:val="24"/>
          <w:szCs w:val="24"/>
        </w:rPr>
      </w:pPr>
      <w:r w:rsidRPr="00FE356D">
        <w:rPr>
          <w:rFonts w:ascii="Times New Roman" w:eastAsia="Calibri" w:hAnsi="Times New Roman" w:cs="Times New Roman"/>
          <w:sz w:val="24"/>
          <w:szCs w:val="24"/>
        </w:rPr>
        <w:t>Процедури за избор на изпълнител на стойност по-големи или равни на посочените в чл. 20, ал. 1 от ЗОП, отговарящи на предпоставките за извършване на предварителния контрол, които са били проведени и възложени преди сключване на договора за финансиране</w:t>
      </w:r>
      <w:r>
        <w:rPr>
          <w:rFonts w:ascii="Times New Roman" w:eastAsia="Calibri" w:hAnsi="Times New Roman" w:cs="Times New Roman"/>
          <w:sz w:val="24"/>
          <w:szCs w:val="24"/>
        </w:rPr>
        <w:t xml:space="preserve"> </w:t>
      </w:r>
      <w:r w:rsidRPr="00FE356D">
        <w:rPr>
          <w:rFonts w:ascii="Times New Roman" w:eastAsia="Calibri" w:hAnsi="Times New Roman" w:cs="Times New Roman"/>
          <w:sz w:val="24"/>
          <w:szCs w:val="24"/>
        </w:rPr>
        <w:t>подлежат на задължителен последващ контрол, без оглед оценката на риска.</w:t>
      </w:r>
    </w:p>
    <w:p w14:paraId="59EC15C9" w14:textId="6B4E4B9B" w:rsidR="003A11C0" w:rsidRPr="003A11C0" w:rsidRDefault="00B40B2B" w:rsidP="009E3B65">
      <w:pPr>
        <w:spacing w:after="120" w:line="240" w:lineRule="auto"/>
        <w:ind w:firstLine="714"/>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bg-BG"/>
        </w:rPr>
        <mc:AlternateContent>
          <mc:Choice Requires="wps">
            <w:drawing>
              <wp:anchor distT="0" distB="0" distL="114300" distR="114300" simplePos="0" relativeHeight="251666432" behindDoc="0" locked="0" layoutInCell="1" allowOverlap="1" wp14:anchorId="4396E584" wp14:editId="7A14B8C3">
                <wp:simplePos x="0" y="0"/>
                <wp:positionH relativeFrom="column">
                  <wp:posOffset>3434081</wp:posOffset>
                </wp:positionH>
                <wp:positionV relativeFrom="paragraph">
                  <wp:posOffset>387985</wp:posOffset>
                </wp:positionV>
                <wp:extent cx="2590800" cy="8382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2590800" cy="838200"/>
                        </a:xfrm>
                        <a:prstGeom prst="rect">
                          <a:avLst/>
                        </a:prstGeom>
                        <a:solidFill>
                          <a:schemeClr val="bg2">
                            <a:lumMod val="90000"/>
                          </a:schemeClr>
                        </a:solidFill>
                        <a:ln w="6350">
                          <a:solidFill>
                            <a:prstClr val="black"/>
                          </a:solidFill>
                        </a:ln>
                      </wps:spPr>
                      <wps:txbx>
                        <w:txbxContent>
                          <w:p w14:paraId="522F23A4" w14:textId="3157A271" w:rsidR="003A11C0" w:rsidRDefault="003A11C0" w:rsidP="00B40B2B">
                            <w:pPr>
                              <w:tabs>
                                <w:tab w:val="left" w:pos="1701"/>
                              </w:tabs>
                              <w:ind w:left="284" w:right="75" w:hanging="284"/>
                              <w:jc w:val="center"/>
                              <w:rPr>
                                <w:rFonts w:cs="Times New Roman"/>
                                <w:b/>
                                <w:bCs/>
                                <w:color w:val="000080"/>
                                <w:sz w:val="20"/>
                                <w:szCs w:val="20"/>
                              </w:rPr>
                            </w:pPr>
                            <w:r w:rsidRPr="00B40B2B">
                              <w:rPr>
                                <w:rFonts w:cs="Times New Roman"/>
                                <w:b/>
                                <w:bCs/>
                                <w:color w:val="000080"/>
                                <w:sz w:val="20"/>
                                <w:szCs w:val="20"/>
                              </w:rPr>
                              <w:t xml:space="preserve">Приложение </w:t>
                            </w:r>
                            <w:r w:rsidR="00583637" w:rsidRPr="00B40B2B">
                              <w:rPr>
                                <w:rFonts w:cs="Times New Roman"/>
                                <w:b/>
                                <w:bCs/>
                                <w:color w:val="000080"/>
                                <w:sz w:val="20"/>
                                <w:szCs w:val="20"/>
                              </w:rPr>
                              <w:t>3.15</w:t>
                            </w:r>
                          </w:p>
                          <w:p w14:paraId="09FF95EE" w14:textId="39C7C536" w:rsidR="00B40B2B" w:rsidRPr="00B40B2B" w:rsidRDefault="00B40B2B" w:rsidP="00B40B2B">
                            <w:pPr>
                              <w:tabs>
                                <w:tab w:val="left" w:pos="1701"/>
                              </w:tabs>
                              <w:ind w:right="75"/>
                              <w:rPr>
                                <w:rFonts w:cs="Times New Roman"/>
                                <w:b/>
                                <w:bCs/>
                                <w:color w:val="000080"/>
                                <w:sz w:val="20"/>
                                <w:szCs w:val="20"/>
                              </w:rPr>
                            </w:pPr>
                            <w:r>
                              <w:rPr>
                                <w:rFonts w:cs="Times New Roman"/>
                                <w:b/>
                                <w:bCs/>
                                <w:color w:val="000080"/>
                                <w:sz w:val="20"/>
                                <w:szCs w:val="20"/>
                              </w:rPr>
                              <w:t xml:space="preserve">Контролен лист за  проверка на  </w:t>
                            </w:r>
                            <w:r w:rsidRPr="00B40B2B">
                              <w:rPr>
                                <w:rFonts w:cs="Times New Roman"/>
                                <w:b/>
                                <w:bCs/>
                                <w:color w:val="000080"/>
                                <w:sz w:val="20"/>
                                <w:szCs w:val="20"/>
                              </w:rPr>
                              <w:t>изпълнение на договор, възложен на основание чл.14, ал.1, т.5-7 и чл.15</w:t>
                            </w:r>
                            <w:r>
                              <w:rPr>
                                <w:rFonts w:cs="Times New Roman"/>
                                <w:b/>
                                <w:bCs/>
                                <w:color w:val="000080"/>
                                <w:sz w:val="20"/>
                                <w:szCs w:val="20"/>
                              </w:rPr>
                              <w:t xml:space="preserve"> от ЗОП</w:t>
                            </w:r>
                          </w:p>
                          <w:p w14:paraId="3F3356EA" w14:textId="77777777" w:rsidR="00B40B2B" w:rsidRPr="00B40B2B" w:rsidRDefault="00B40B2B" w:rsidP="00B40B2B">
                            <w:pPr>
                              <w:tabs>
                                <w:tab w:val="left" w:pos="1701"/>
                              </w:tabs>
                              <w:ind w:left="284" w:right="75" w:hanging="284"/>
                              <w:jc w:val="center"/>
                              <w:rPr>
                                <w:rFonts w:cs="Times New Roman"/>
                                <w:b/>
                                <w:bCs/>
                                <w:color w:val="0000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96E584" id="_x0000_t202" coordsize="21600,21600" o:spt="202" path="m,l,21600r21600,l21600,xe">
                <v:stroke joinstyle="miter"/>
                <v:path gradientshapeok="t" o:connecttype="rect"/>
              </v:shapetype>
              <v:shape id="Text Box 1" o:spid="_x0000_s1028" type="#_x0000_t202" style="position:absolute;left:0;text-align:left;margin-left:270.4pt;margin-top:30.55pt;width:204pt;height:6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" fillcolor="#cfcdcd [2894]" strokeweight=".5pt">
                <v:textbox>
                  <w:txbxContent>
                    <w:p w14:paraId="522F23A4" w14:textId="3157A271" w:rsidR="003A11C0" w:rsidRDefault="003A11C0" w:rsidP="00B40B2B">
                      <w:pPr>
                        <w:tabs>
                          <w:tab w:val="left" w:pos="1701"/>
                        </w:tabs>
                        <w:ind w:left="284" w:right="75" w:hanging="284"/>
                        <w:jc w:val="center"/>
                        <w:rPr>
                          <w:rFonts w:cs="Times New Roman"/>
                          <w:b/>
                          <w:bCs/>
                          <w:color w:val="000080"/>
                          <w:sz w:val="20"/>
                          <w:szCs w:val="20"/>
                        </w:rPr>
                      </w:pPr>
                      <w:r w:rsidRPr="00B40B2B">
                        <w:rPr>
                          <w:rFonts w:cs="Times New Roman"/>
                          <w:b/>
                          <w:bCs/>
                          <w:color w:val="000080"/>
                          <w:sz w:val="20"/>
                          <w:szCs w:val="20"/>
                        </w:rPr>
                        <w:t xml:space="preserve">Приложение </w:t>
                      </w:r>
                      <w:r w:rsidR="00583637" w:rsidRPr="00B40B2B">
                        <w:rPr>
                          <w:rFonts w:cs="Times New Roman"/>
                          <w:b/>
                          <w:bCs/>
                          <w:color w:val="000080"/>
                          <w:sz w:val="20"/>
                          <w:szCs w:val="20"/>
                        </w:rPr>
                        <w:t>3.15</w:t>
                      </w:r>
                    </w:p>
                    <w:p w14:paraId="09FF95EE" w14:textId="39C7C536" w:rsidR="00B40B2B" w:rsidRPr="00B40B2B" w:rsidRDefault="00B40B2B" w:rsidP="00B40B2B">
                      <w:pPr>
                        <w:tabs>
                          <w:tab w:val="left" w:pos="1701"/>
                        </w:tabs>
                        <w:ind w:right="75"/>
                        <w:rPr>
                          <w:rFonts w:cs="Times New Roman"/>
                          <w:b/>
                          <w:bCs/>
                          <w:color w:val="000080"/>
                          <w:sz w:val="20"/>
                          <w:szCs w:val="20"/>
                        </w:rPr>
                      </w:pPr>
                      <w:r>
                        <w:rPr>
                          <w:rFonts w:cs="Times New Roman"/>
                          <w:b/>
                          <w:bCs/>
                          <w:color w:val="000080"/>
                          <w:sz w:val="20"/>
                          <w:szCs w:val="20"/>
                        </w:rPr>
                        <w:t xml:space="preserve">Контролен лист за  проверка на  </w:t>
                      </w:r>
                      <w:r w:rsidRPr="00B40B2B">
                        <w:rPr>
                          <w:rFonts w:cs="Times New Roman"/>
                          <w:b/>
                          <w:bCs/>
                          <w:color w:val="000080"/>
                          <w:sz w:val="20"/>
                          <w:szCs w:val="20"/>
                        </w:rPr>
                        <w:t>изпълнение на договор, възложен на основание чл.14, ал.1, т.5-7 и чл.15</w:t>
                      </w:r>
                      <w:r>
                        <w:rPr>
                          <w:rFonts w:cs="Times New Roman"/>
                          <w:b/>
                          <w:bCs/>
                          <w:color w:val="000080"/>
                          <w:sz w:val="20"/>
                          <w:szCs w:val="20"/>
                        </w:rPr>
                        <w:t xml:space="preserve"> от ЗОП</w:t>
                      </w:r>
                    </w:p>
                    <w:p w14:paraId="3F3356EA" w14:textId="77777777" w:rsidR="00B40B2B" w:rsidRPr="00B40B2B" w:rsidRDefault="00B40B2B" w:rsidP="00B40B2B">
                      <w:pPr>
                        <w:tabs>
                          <w:tab w:val="left" w:pos="1701"/>
                        </w:tabs>
                        <w:ind w:left="284" w:right="75" w:hanging="284"/>
                        <w:jc w:val="center"/>
                        <w:rPr>
                          <w:rFonts w:cs="Times New Roman"/>
                          <w:b/>
                          <w:bCs/>
                          <w:color w:val="000080"/>
                          <w:sz w:val="20"/>
                          <w:szCs w:val="20"/>
                        </w:rPr>
                      </w:pPr>
                    </w:p>
                  </w:txbxContent>
                </v:textbox>
              </v:shape>
            </w:pict>
          </mc:Fallback>
        </mc:AlternateContent>
      </w:r>
      <w:r w:rsidR="00320934">
        <w:rPr>
          <w:rFonts w:ascii="Times New Roman" w:eastAsia="Calibri" w:hAnsi="Times New Roman" w:cs="Times New Roman"/>
          <w:sz w:val="24"/>
          <w:szCs w:val="24"/>
        </w:rPr>
        <w:t xml:space="preserve">б) </w:t>
      </w:r>
      <w:r w:rsidR="003A11C0">
        <w:rPr>
          <w:rFonts w:ascii="Times New Roman" w:eastAsia="Calibri" w:hAnsi="Times New Roman" w:cs="Times New Roman"/>
          <w:sz w:val="24"/>
          <w:szCs w:val="24"/>
        </w:rPr>
        <w:t>в</w:t>
      </w:r>
      <w:r w:rsidR="003A11C0" w:rsidRPr="003A11C0">
        <w:rPr>
          <w:rFonts w:ascii="Times New Roman" w:eastAsia="Calibri" w:hAnsi="Times New Roman" w:cs="Times New Roman"/>
          <w:sz w:val="24"/>
          <w:szCs w:val="24"/>
        </w:rPr>
        <w:t>ътрешното възлага</w:t>
      </w:r>
      <w:r w:rsidR="003A11C0">
        <w:rPr>
          <w:rFonts w:ascii="Times New Roman" w:eastAsia="Calibri" w:hAnsi="Times New Roman" w:cs="Times New Roman"/>
          <w:sz w:val="24"/>
          <w:szCs w:val="24"/>
        </w:rPr>
        <w:t>не, познато още като “</w:t>
      </w:r>
      <w:proofErr w:type="spellStart"/>
      <w:r w:rsidR="003A11C0">
        <w:rPr>
          <w:rFonts w:ascii="Times New Roman" w:eastAsia="Calibri" w:hAnsi="Times New Roman" w:cs="Times New Roman"/>
          <w:sz w:val="24"/>
          <w:szCs w:val="24"/>
        </w:rPr>
        <w:t>in</w:t>
      </w:r>
      <w:proofErr w:type="spellEnd"/>
      <w:r w:rsidR="003A11C0">
        <w:rPr>
          <w:rFonts w:ascii="Times New Roman" w:eastAsia="Calibri" w:hAnsi="Times New Roman" w:cs="Times New Roman"/>
          <w:sz w:val="24"/>
          <w:szCs w:val="24"/>
        </w:rPr>
        <w:t xml:space="preserve"> </w:t>
      </w:r>
      <w:proofErr w:type="spellStart"/>
      <w:r w:rsidR="003A11C0">
        <w:rPr>
          <w:rFonts w:ascii="Times New Roman" w:eastAsia="Calibri" w:hAnsi="Times New Roman" w:cs="Times New Roman"/>
          <w:sz w:val="24"/>
          <w:szCs w:val="24"/>
        </w:rPr>
        <w:t>house</w:t>
      </w:r>
      <w:proofErr w:type="spellEnd"/>
      <w:r w:rsidR="003A11C0">
        <w:rPr>
          <w:rFonts w:ascii="Times New Roman" w:eastAsia="Calibri" w:hAnsi="Times New Roman" w:cs="Times New Roman"/>
          <w:sz w:val="24"/>
          <w:szCs w:val="24"/>
        </w:rPr>
        <w:t>“, при п</w:t>
      </w:r>
      <w:r w:rsidR="003A11C0" w:rsidRPr="003A11C0">
        <w:rPr>
          <w:rFonts w:ascii="Times New Roman" w:eastAsia="Calibri" w:hAnsi="Times New Roman" w:cs="Times New Roman"/>
          <w:sz w:val="24"/>
          <w:szCs w:val="24"/>
        </w:rPr>
        <w:t xml:space="preserve">рилагане на изключенията по чл. 14, ал. 1, т. 5 </w:t>
      </w:r>
      <w:r w:rsidR="003A11C0">
        <w:rPr>
          <w:rFonts w:ascii="Times New Roman" w:eastAsia="Calibri" w:hAnsi="Times New Roman" w:cs="Times New Roman"/>
          <w:sz w:val="24"/>
          <w:szCs w:val="24"/>
        </w:rPr>
        <w:t>–</w:t>
      </w:r>
      <w:r w:rsidR="003A11C0" w:rsidRPr="003A11C0">
        <w:rPr>
          <w:rFonts w:ascii="Times New Roman" w:eastAsia="Calibri" w:hAnsi="Times New Roman" w:cs="Times New Roman"/>
          <w:sz w:val="24"/>
          <w:szCs w:val="24"/>
        </w:rPr>
        <w:t xml:space="preserve"> 7</w:t>
      </w:r>
      <w:r w:rsidR="00673DF6">
        <w:rPr>
          <w:rFonts w:ascii="Times New Roman" w:eastAsia="Calibri" w:hAnsi="Times New Roman" w:cs="Times New Roman"/>
          <w:sz w:val="24"/>
          <w:szCs w:val="24"/>
        </w:rPr>
        <w:t xml:space="preserve"> и чл. 15</w:t>
      </w:r>
      <w:r w:rsidR="003A11C0">
        <w:rPr>
          <w:rFonts w:ascii="Times New Roman" w:eastAsia="Calibri" w:hAnsi="Times New Roman" w:cs="Times New Roman"/>
          <w:sz w:val="24"/>
          <w:szCs w:val="24"/>
        </w:rPr>
        <w:t xml:space="preserve"> от ЗОП.</w:t>
      </w:r>
    </w:p>
    <w:p w14:paraId="510C9D14" w14:textId="1BFD9BCA" w:rsidR="003A11C0" w:rsidRDefault="003A11C0" w:rsidP="009E3B65">
      <w:pPr>
        <w:spacing w:after="120" w:line="240" w:lineRule="auto"/>
        <w:ind w:firstLine="714"/>
        <w:jc w:val="both"/>
        <w:rPr>
          <w:rFonts w:ascii="Times New Roman" w:eastAsia="Calibri" w:hAnsi="Times New Roman" w:cs="Times New Roman"/>
          <w:sz w:val="24"/>
          <w:szCs w:val="24"/>
        </w:rPr>
      </w:pPr>
    </w:p>
    <w:p w14:paraId="6BF2F908" w14:textId="0F3F4C21" w:rsidR="006051A0" w:rsidRDefault="006051A0" w:rsidP="009E3B65">
      <w:pPr>
        <w:spacing w:after="120" w:line="240" w:lineRule="auto"/>
        <w:ind w:firstLine="714"/>
        <w:jc w:val="both"/>
        <w:rPr>
          <w:rFonts w:ascii="Times New Roman" w:eastAsia="Calibri" w:hAnsi="Times New Roman" w:cs="Times New Roman"/>
          <w:sz w:val="24"/>
          <w:szCs w:val="24"/>
        </w:rPr>
      </w:pPr>
    </w:p>
    <w:p w14:paraId="0A583FD2" w14:textId="455E6160" w:rsidR="00B40B2B" w:rsidRDefault="00B40B2B" w:rsidP="009E3B65">
      <w:pPr>
        <w:spacing w:after="120" w:line="240" w:lineRule="auto"/>
        <w:ind w:firstLine="714"/>
        <w:jc w:val="both"/>
        <w:rPr>
          <w:rFonts w:ascii="Times New Roman" w:eastAsia="Calibri" w:hAnsi="Times New Roman" w:cs="Times New Roman"/>
          <w:sz w:val="24"/>
          <w:szCs w:val="24"/>
        </w:rPr>
      </w:pPr>
    </w:p>
    <w:p w14:paraId="50CA7598" w14:textId="77777777" w:rsidR="00B40B2B" w:rsidRDefault="00B40B2B" w:rsidP="009E3B65">
      <w:pPr>
        <w:spacing w:after="120" w:line="240" w:lineRule="auto"/>
        <w:ind w:firstLine="714"/>
        <w:jc w:val="both"/>
        <w:rPr>
          <w:rFonts w:ascii="Times New Roman" w:eastAsia="Calibri" w:hAnsi="Times New Roman" w:cs="Times New Roman"/>
          <w:sz w:val="24"/>
          <w:szCs w:val="24"/>
        </w:rPr>
      </w:pPr>
      <w:bookmarkStart w:id="1" w:name="_GoBack"/>
      <w:bookmarkEnd w:id="1"/>
    </w:p>
    <w:p w14:paraId="34141763" w14:textId="77777777" w:rsidR="008E6149" w:rsidRPr="008E6149" w:rsidRDefault="008E6149" w:rsidP="008E6149">
      <w:pPr>
        <w:spacing w:after="120" w:line="240" w:lineRule="auto"/>
        <w:ind w:firstLine="714"/>
        <w:jc w:val="both"/>
        <w:rPr>
          <w:rFonts w:ascii="Times New Roman" w:eastAsia="Calibri" w:hAnsi="Times New Roman" w:cs="Times New Roman"/>
          <w:sz w:val="24"/>
          <w:szCs w:val="24"/>
        </w:rPr>
      </w:pPr>
      <w:r w:rsidRPr="008E6149">
        <w:rPr>
          <w:rFonts w:ascii="Times New Roman" w:eastAsia="Calibri" w:hAnsi="Times New Roman" w:cs="Times New Roman"/>
          <w:sz w:val="24"/>
          <w:szCs w:val="24"/>
        </w:rPr>
        <w:t xml:space="preserve">В случай на много на брой възлагания на обществени поръчки, извършвани от един краен получател и с предмет, касаещ осъществяване на основната му дейност, СНД/ДНФ може да извърши последващ контрол въз основа на извадка. </w:t>
      </w:r>
    </w:p>
    <w:p w14:paraId="01D1FA2D" w14:textId="007F3853" w:rsidR="008E6149" w:rsidRPr="004021E7" w:rsidRDefault="008E6149" w:rsidP="008E6149">
      <w:pPr>
        <w:spacing w:after="120" w:line="240" w:lineRule="auto"/>
        <w:ind w:firstLine="714"/>
        <w:jc w:val="both"/>
        <w:rPr>
          <w:rFonts w:ascii="Times New Roman" w:eastAsia="Calibri" w:hAnsi="Times New Roman" w:cs="Times New Roman"/>
          <w:sz w:val="24"/>
          <w:szCs w:val="24"/>
        </w:rPr>
      </w:pPr>
      <w:r w:rsidRPr="004021E7">
        <w:rPr>
          <w:rFonts w:ascii="Times New Roman" w:eastAsia="Calibri" w:hAnsi="Times New Roman" w:cs="Times New Roman"/>
          <w:sz w:val="24"/>
          <w:szCs w:val="24"/>
        </w:rPr>
        <w:t xml:space="preserve">Извадката обхваща 20 % от изходната база, </w:t>
      </w:r>
      <w:r w:rsidR="00120979">
        <w:rPr>
          <w:rFonts w:ascii="Times New Roman" w:eastAsia="Calibri" w:hAnsi="Times New Roman" w:cs="Times New Roman"/>
          <w:sz w:val="24"/>
          <w:szCs w:val="24"/>
        </w:rPr>
        <w:t xml:space="preserve">в </w:t>
      </w:r>
      <w:r w:rsidRPr="004021E7">
        <w:rPr>
          <w:rFonts w:ascii="Times New Roman" w:eastAsia="Calibri" w:hAnsi="Times New Roman" w:cs="Times New Roman"/>
          <w:sz w:val="24"/>
          <w:szCs w:val="24"/>
        </w:rPr>
        <w:t xml:space="preserve">която </w:t>
      </w:r>
      <w:r w:rsidR="00120979">
        <w:rPr>
          <w:rFonts w:ascii="Times New Roman" w:eastAsia="Calibri" w:hAnsi="Times New Roman" w:cs="Times New Roman"/>
          <w:sz w:val="24"/>
          <w:szCs w:val="24"/>
        </w:rPr>
        <w:t>са</w:t>
      </w:r>
      <w:r w:rsidRPr="004021E7">
        <w:rPr>
          <w:rFonts w:ascii="Times New Roman" w:eastAsia="Calibri" w:hAnsi="Times New Roman" w:cs="Times New Roman"/>
          <w:sz w:val="24"/>
          <w:szCs w:val="24"/>
        </w:rPr>
        <w:t xml:space="preserve"> </w:t>
      </w:r>
      <w:r w:rsidR="00120979">
        <w:rPr>
          <w:rFonts w:ascii="Times New Roman" w:eastAsia="Calibri" w:hAnsi="Times New Roman" w:cs="Times New Roman"/>
          <w:sz w:val="24"/>
          <w:szCs w:val="24"/>
        </w:rPr>
        <w:t xml:space="preserve">включени </w:t>
      </w:r>
      <w:r w:rsidRPr="004021E7">
        <w:rPr>
          <w:rFonts w:ascii="Times New Roman" w:eastAsia="Calibri" w:hAnsi="Times New Roman" w:cs="Times New Roman"/>
          <w:sz w:val="24"/>
          <w:szCs w:val="24"/>
        </w:rPr>
        <w:t xml:space="preserve">всички сключени от крайния получател договори, по които има отчетени разходи. </w:t>
      </w:r>
    </w:p>
    <w:p w14:paraId="6F772F37" w14:textId="78AB57B1" w:rsidR="008E6149" w:rsidRPr="004021E7" w:rsidRDefault="008304DD" w:rsidP="008E6149">
      <w:pPr>
        <w:spacing w:after="120" w:line="240" w:lineRule="auto"/>
        <w:ind w:firstLine="714"/>
        <w:jc w:val="both"/>
        <w:rPr>
          <w:rFonts w:ascii="Times New Roman" w:eastAsia="Calibri" w:hAnsi="Times New Roman" w:cs="Times New Roman"/>
          <w:sz w:val="24"/>
          <w:szCs w:val="24"/>
        </w:rPr>
      </w:pPr>
      <w:r w:rsidRPr="004021E7">
        <w:rPr>
          <w:rFonts w:ascii="Times New Roman" w:eastAsia="Calibri" w:hAnsi="Times New Roman" w:cs="Times New Roman"/>
          <w:sz w:val="24"/>
          <w:szCs w:val="24"/>
        </w:rPr>
        <w:lastRenderedPageBreak/>
        <w:t xml:space="preserve">За формиране на извадката се прилага стъпка 5 (n+5), като задължително в извадката са включени първата и последната единици в популацията. </w:t>
      </w:r>
    </w:p>
    <w:p w14:paraId="1773E59B" w14:textId="6AA9259C" w:rsidR="006770D1" w:rsidRDefault="006770D1" w:rsidP="008E6149">
      <w:pPr>
        <w:spacing w:after="120" w:line="240" w:lineRule="auto"/>
        <w:ind w:firstLine="714"/>
        <w:jc w:val="both"/>
        <w:rPr>
          <w:rFonts w:ascii="Times New Roman" w:eastAsia="Calibri" w:hAnsi="Times New Roman" w:cs="Times New Roman"/>
          <w:sz w:val="24"/>
          <w:szCs w:val="24"/>
        </w:rPr>
      </w:pPr>
    </w:p>
    <w:p w14:paraId="63488FE8" w14:textId="77777777" w:rsidR="006051A0" w:rsidRPr="006051A0" w:rsidRDefault="006051A0" w:rsidP="006051A0">
      <w:pPr>
        <w:spacing w:after="120" w:line="240" w:lineRule="auto"/>
        <w:ind w:firstLine="714"/>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6051A0">
        <w:rPr>
          <w:rFonts w:ascii="Times New Roman" w:eastAsia="Calibri" w:hAnsi="Times New Roman" w:cs="Times New Roman"/>
          <w:sz w:val="24"/>
          <w:szCs w:val="24"/>
        </w:rPr>
        <w:t xml:space="preserve">а целите на чл. </w:t>
      </w:r>
      <w:r>
        <w:rPr>
          <w:rFonts w:ascii="Times New Roman" w:eastAsia="Calibri" w:hAnsi="Times New Roman" w:cs="Times New Roman"/>
          <w:sz w:val="24"/>
          <w:szCs w:val="24"/>
        </w:rPr>
        <w:t>22 от Регламент (ЕС)2021/241</w:t>
      </w:r>
      <w:r w:rsidRPr="006051A0">
        <w:rPr>
          <w:rFonts w:ascii="Times New Roman" w:eastAsia="Calibri" w:hAnsi="Times New Roman" w:cs="Times New Roman"/>
          <w:sz w:val="24"/>
          <w:szCs w:val="24"/>
        </w:rPr>
        <w:t xml:space="preserve">, при представяне на документи за последващ контрол на проведена обществена поръчка, </w:t>
      </w:r>
      <w:r>
        <w:rPr>
          <w:rFonts w:ascii="Times New Roman" w:eastAsia="Calibri" w:hAnsi="Times New Roman" w:cs="Times New Roman"/>
          <w:sz w:val="24"/>
          <w:szCs w:val="24"/>
        </w:rPr>
        <w:t>КП</w:t>
      </w:r>
      <w:r w:rsidRPr="006051A0">
        <w:rPr>
          <w:rFonts w:ascii="Times New Roman" w:eastAsia="Calibri" w:hAnsi="Times New Roman" w:cs="Times New Roman"/>
          <w:sz w:val="24"/>
          <w:szCs w:val="24"/>
        </w:rPr>
        <w:t xml:space="preserve"> </w:t>
      </w:r>
      <w:r w:rsidR="007658D0">
        <w:rPr>
          <w:rFonts w:ascii="Times New Roman" w:eastAsia="Calibri" w:hAnsi="Times New Roman" w:cs="Times New Roman"/>
          <w:sz w:val="24"/>
          <w:szCs w:val="24"/>
        </w:rPr>
        <w:t xml:space="preserve">следва да е осигурил </w:t>
      </w:r>
      <w:r w:rsidRPr="006051A0">
        <w:rPr>
          <w:rFonts w:ascii="Times New Roman" w:eastAsia="Calibri" w:hAnsi="Times New Roman" w:cs="Times New Roman"/>
          <w:sz w:val="24"/>
          <w:szCs w:val="24"/>
        </w:rPr>
        <w:t>данни за:</w:t>
      </w:r>
    </w:p>
    <w:p w14:paraId="71C5959D" w14:textId="77777777" w:rsidR="006051A0" w:rsidRPr="006051A0" w:rsidRDefault="006051A0" w:rsidP="006051A0">
      <w:pPr>
        <w:spacing w:after="120" w:line="240" w:lineRule="auto"/>
        <w:ind w:firstLine="714"/>
        <w:jc w:val="both"/>
        <w:rPr>
          <w:rFonts w:ascii="Times New Roman" w:eastAsia="Calibri" w:hAnsi="Times New Roman" w:cs="Times New Roman"/>
          <w:sz w:val="24"/>
          <w:szCs w:val="24"/>
        </w:rPr>
      </w:pPr>
      <w:r w:rsidRPr="006051A0">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6051A0">
        <w:rPr>
          <w:rFonts w:ascii="Times New Roman" w:eastAsia="Calibri" w:hAnsi="Times New Roman" w:cs="Times New Roman"/>
          <w:sz w:val="24"/>
          <w:szCs w:val="24"/>
        </w:rPr>
        <w:t>име на изпълнителя и подизпълнителя;</w:t>
      </w:r>
    </w:p>
    <w:p w14:paraId="44099C2D" w14:textId="77777777" w:rsidR="006051A0" w:rsidRDefault="006051A0" w:rsidP="006051A0">
      <w:pPr>
        <w:spacing w:after="120" w:line="240" w:lineRule="auto"/>
        <w:ind w:firstLine="714"/>
        <w:jc w:val="both"/>
        <w:rPr>
          <w:rFonts w:ascii="Times New Roman" w:eastAsia="Calibri" w:hAnsi="Times New Roman" w:cs="Times New Roman"/>
          <w:sz w:val="24"/>
          <w:szCs w:val="24"/>
        </w:rPr>
      </w:pPr>
      <w:r w:rsidRPr="006051A0">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Pr="006051A0">
        <w:rPr>
          <w:rFonts w:ascii="Times New Roman" w:eastAsia="Calibri" w:hAnsi="Times New Roman" w:cs="Times New Roman"/>
          <w:sz w:val="24"/>
          <w:szCs w:val="24"/>
        </w:rPr>
        <w:t>собствено(и) име(на), фамилно(и) име(на) и дата на раждане на действителния(те) собственик(</w:t>
      </w:r>
      <w:proofErr w:type="spellStart"/>
      <w:r w:rsidRPr="006051A0">
        <w:rPr>
          <w:rFonts w:ascii="Times New Roman" w:eastAsia="Calibri" w:hAnsi="Times New Roman" w:cs="Times New Roman"/>
          <w:sz w:val="24"/>
          <w:szCs w:val="24"/>
        </w:rPr>
        <w:t>ци</w:t>
      </w:r>
      <w:proofErr w:type="spellEnd"/>
      <w:r w:rsidRPr="006051A0">
        <w:rPr>
          <w:rFonts w:ascii="Times New Roman" w:eastAsia="Calibri" w:hAnsi="Times New Roman" w:cs="Times New Roman"/>
          <w:sz w:val="24"/>
          <w:szCs w:val="24"/>
        </w:rPr>
        <w:t>) на получателя на средствата или на изпълнителя по смисъла на член 3, точка 6 от Директива (ЕС) 2015/849 на Европейския парламент и на Съвета.</w:t>
      </w:r>
    </w:p>
    <w:p w14:paraId="3FB932CE" w14:textId="2C0B8F15" w:rsidR="009E3B65" w:rsidRPr="009E3B65" w:rsidRDefault="009E3B65" w:rsidP="009E3B65">
      <w:pPr>
        <w:spacing w:after="120" w:line="240" w:lineRule="auto"/>
        <w:ind w:firstLine="714"/>
        <w:jc w:val="both"/>
        <w:rPr>
          <w:rFonts w:ascii="Times New Roman" w:eastAsia="Calibri" w:hAnsi="Times New Roman" w:cs="Times New Roman"/>
          <w:sz w:val="24"/>
          <w:szCs w:val="24"/>
          <w:u w:val="single"/>
        </w:rPr>
      </w:pPr>
      <w:r w:rsidRPr="009E3B65">
        <w:rPr>
          <w:rFonts w:ascii="Times New Roman" w:eastAsia="Calibri" w:hAnsi="Times New Roman" w:cs="Times New Roman"/>
          <w:sz w:val="24"/>
          <w:szCs w:val="24"/>
        </w:rPr>
        <w:t xml:space="preserve">Когато в рамките на дейностите на контрол се установят индикатори за измама, корупция или конфликт на интереси и двойно финансиране се прилага процедурата за докладване на сигнали за сериозни нередности, посочена в т. </w:t>
      </w:r>
      <w:r w:rsidR="00190F43">
        <w:rPr>
          <w:rFonts w:ascii="Times New Roman" w:eastAsia="Calibri" w:hAnsi="Times New Roman" w:cs="Times New Roman"/>
          <w:sz w:val="24"/>
          <w:szCs w:val="24"/>
        </w:rPr>
        <w:t>6</w:t>
      </w:r>
      <w:r w:rsidRPr="009E3B65">
        <w:rPr>
          <w:rFonts w:ascii="Times New Roman" w:eastAsia="Calibri" w:hAnsi="Times New Roman" w:cs="Times New Roman"/>
          <w:sz w:val="24"/>
          <w:szCs w:val="24"/>
        </w:rPr>
        <w:t xml:space="preserve">.1. „Сериозни нередности (измама, корупция и конфликт на интереси)“ и т. </w:t>
      </w:r>
      <w:r w:rsidR="00190F43">
        <w:rPr>
          <w:rFonts w:ascii="Times New Roman" w:eastAsia="Calibri" w:hAnsi="Times New Roman" w:cs="Times New Roman"/>
          <w:sz w:val="24"/>
          <w:szCs w:val="24"/>
        </w:rPr>
        <w:t>6</w:t>
      </w:r>
      <w:r w:rsidRPr="009E3B65">
        <w:rPr>
          <w:rFonts w:ascii="Times New Roman" w:eastAsia="Calibri" w:hAnsi="Times New Roman" w:cs="Times New Roman"/>
          <w:sz w:val="24"/>
          <w:szCs w:val="24"/>
        </w:rPr>
        <w:t xml:space="preserve">.2. „Специфични дейности, свързани с проверка за двойно финансиране“. При индикатори за други нарушения се прилага т. </w:t>
      </w:r>
      <w:r w:rsidR="00FA5FBD">
        <w:rPr>
          <w:rFonts w:ascii="Times New Roman" w:eastAsia="Calibri" w:hAnsi="Times New Roman" w:cs="Times New Roman"/>
          <w:sz w:val="24"/>
          <w:szCs w:val="24"/>
        </w:rPr>
        <w:t>6</w:t>
      </w:r>
      <w:r w:rsidRPr="009E3B65">
        <w:rPr>
          <w:rFonts w:ascii="Times New Roman" w:eastAsia="Calibri" w:hAnsi="Times New Roman" w:cs="Times New Roman"/>
          <w:sz w:val="24"/>
          <w:szCs w:val="24"/>
        </w:rPr>
        <w:t>.3. „Установяване на пропуски при прилагане на принципа на добро финансово управление“.</w:t>
      </w:r>
    </w:p>
    <w:p w14:paraId="3EDED51D" w14:textId="77777777" w:rsidR="009E3B65" w:rsidRDefault="009E3B65" w:rsidP="009E3B65">
      <w:pPr>
        <w:keepNext/>
        <w:keepLines/>
        <w:spacing w:before="40" w:after="0" w:line="240" w:lineRule="auto"/>
        <w:ind w:left="720"/>
        <w:contextualSpacing/>
        <w:jc w:val="both"/>
        <w:outlineLvl w:val="1"/>
        <w:rPr>
          <w:rFonts w:ascii="Times New Roman" w:eastAsia="Calibri" w:hAnsi="Times New Roman" w:cs="Times New Roman"/>
          <w:b/>
          <w:sz w:val="24"/>
          <w:szCs w:val="24"/>
          <w:lang w:val="en-US"/>
        </w:rPr>
      </w:pPr>
    </w:p>
    <w:p w14:paraId="05A28FEE" w14:textId="77777777" w:rsidR="009E3B65" w:rsidRDefault="009E3B65" w:rsidP="009E3B65">
      <w:pPr>
        <w:keepNext/>
        <w:keepLines/>
        <w:spacing w:before="40" w:after="0" w:line="240" w:lineRule="auto"/>
        <w:ind w:left="720"/>
        <w:contextualSpacing/>
        <w:jc w:val="both"/>
        <w:outlineLvl w:val="1"/>
        <w:rPr>
          <w:rFonts w:ascii="Times New Roman" w:eastAsia="Calibri" w:hAnsi="Times New Roman" w:cs="Times New Roman"/>
          <w:b/>
          <w:sz w:val="24"/>
          <w:szCs w:val="24"/>
          <w:lang w:val="en-US"/>
        </w:rPr>
      </w:pPr>
    </w:p>
    <w:bookmarkEnd w:id="0"/>
    <w:p w14:paraId="4878617F" w14:textId="77777777" w:rsidR="009E3B65" w:rsidRDefault="009E3B65" w:rsidP="009E3B65">
      <w:pPr>
        <w:keepNext/>
        <w:keepLines/>
        <w:spacing w:before="40" w:after="0" w:line="240" w:lineRule="auto"/>
        <w:ind w:left="720"/>
        <w:contextualSpacing/>
        <w:jc w:val="both"/>
        <w:outlineLvl w:val="1"/>
        <w:rPr>
          <w:rFonts w:ascii="Times New Roman" w:eastAsia="Calibri" w:hAnsi="Times New Roman" w:cs="Times New Roman"/>
          <w:b/>
          <w:sz w:val="24"/>
          <w:szCs w:val="24"/>
          <w:lang w:val="en-US"/>
        </w:rPr>
      </w:pPr>
    </w:p>
    <w:sectPr w:rsidR="009E3B65" w:rsidSect="00C82470">
      <w:headerReference w:type="even" r:id="rId7"/>
      <w:headerReference w:type="default" r:id="rId8"/>
      <w:footerReference w:type="even" r:id="rId9"/>
      <w:footerReference w:type="default" r:id="rId10"/>
      <w:headerReference w:type="first" r:id="rId11"/>
      <w:footerReference w:type="firs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39D07" w14:textId="77777777" w:rsidR="008E4B6D" w:rsidRDefault="008E4B6D" w:rsidP="00FC1F54">
      <w:pPr>
        <w:spacing w:after="0" w:line="240" w:lineRule="auto"/>
      </w:pPr>
      <w:r>
        <w:separator/>
      </w:r>
    </w:p>
  </w:endnote>
  <w:endnote w:type="continuationSeparator" w:id="0">
    <w:p w14:paraId="0E541B26" w14:textId="77777777" w:rsidR="008E4B6D" w:rsidRDefault="008E4B6D" w:rsidP="00FC1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Narrow">
    <w:altName w:val="Times New Roman"/>
    <w:panose1 w:val="00000000000000000000"/>
    <w:charset w:val="80"/>
    <w:family w:val="auto"/>
    <w:notTrueType/>
    <w:pitch w:val="default"/>
    <w:sig w:usb0="00000000"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88B0E" w14:textId="77777777" w:rsidR="009D1BBF" w:rsidRDefault="009D1BB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2DD23" w14:textId="77777777" w:rsidR="009D1BBF" w:rsidRDefault="009D1BB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28730" w14:textId="77777777" w:rsidR="009D1BBF" w:rsidRDefault="009D1BB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AB803" w14:textId="77777777" w:rsidR="008E4B6D" w:rsidRDefault="008E4B6D" w:rsidP="00FC1F54">
      <w:pPr>
        <w:spacing w:after="0" w:line="240" w:lineRule="auto"/>
      </w:pPr>
      <w:r>
        <w:separator/>
      </w:r>
    </w:p>
  </w:footnote>
  <w:footnote w:type="continuationSeparator" w:id="0">
    <w:p w14:paraId="60B46BEB" w14:textId="77777777" w:rsidR="008E4B6D" w:rsidRDefault="008E4B6D" w:rsidP="00FC1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FFBB" w14:textId="77777777" w:rsidR="009D1BBF" w:rsidRDefault="009D1BB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89" w:type="pct"/>
      <w:tblInd w:w="-572" w:type="dxa"/>
      <w:tblLayout w:type="fixed"/>
      <w:tblLook w:val="04A0" w:firstRow="1" w:lastRow="0" w:firstColumn="1" w:lastColumn="0" w:noHBand="0" w:noVBand="1"/>
    </w:tblPr>
    <w:tblGrid>
      <w:gridCol w:w="3761"/>
      <w:gridCol w:w="4404"/>
      <w:gridCol w:w="1965"/>
    </w:tblGrid>
    <w:tr w:rsidR="00FC1F54" w14:paraId="254BB42D" w14:textId="77777777" w:rsidTr="006B0EEB">
      <w:trPr>
        <w:trHeight w:val="560"/>
      </w:trPr>
      <w:tc>
        <w:tcPr>
          <w:tcW w:w="3708" w:type="dxa"/>
          <w:tcBorders>
            <w:top w:val="single" w:sz="4" w:space="0" w:color="auto"/>
            <w:left w:val="single" w:sz="4" w:space="0" w:color="auto"/>
            <w:bottom w:val="single" w:sz="6" w:space="0" w:color="auto"/>
            <w:right w:val="single" w:sz="6" w:space="0" w:color="auto"/>
          </w:tcBorders>
          <w:shd w:val="clear" w:color="auto" w:fill="E6E6E6"/>
          <w:vAlign w:val="center"/>
          <w:hideMark/>
        </w:tcPr>
        <w:p w14:paraId="27E7C966" w14:textId="77777777" w:rsidR="00FC1F54" w:rsidRDefault="00FC1F54" w:rsidP="00FC1F54">
          <w:pPr>
            <w:rPr>
              <w:rFonts w:ascii="Bookman Old Style" w:hAnsi="Bookman Old Style"/>
              <w:b/>
              <w:color w:val="808080"/>
              <w:sz w:val="18"/>
              <w:szCs w:val="18"/>
            </w:rPr>
          </w:pPr>
          <w:r>
            <w:rPr>
              <w:rFonts w:ascii="Bookman Old Style" w:hAnsi="Bookman Old Style"/>
              <w:b/>
              <w:color w:val="808080"/>
              <w:sz w:val="18"/>
              <w:szCs w:val="18"/>
            </w:rPr>
            <w:t>Система за управление и контрол</w:t>
          </w:r>
        </w:p>
      </w:tc>
      <w:tc>
        <w:tcPr>
          <w:tcW w:w="4483" w:type="dxa"/>
          <w:tcBorders>
            <w:top w:val="single" w:sz="4" w:space="0" w:color="auto"/>
            <w:left w:val="single" w:sz="6" w:space="0" w:color="auto"/>
            <w:bottom w:val="single" w:sz="6" w:space="0" w:color="auto"/>
            <w:right w:val="single" w:sz="4" w:space="0" w:color="auto"/>
          </w:tcBorders>
          <w:shd w:val="clear" w:color="auto" w:fill="E6E6E6"/>
          <w:vAlign w:val="center"/>
          <w:hideMark/>
        </w:tcPr>
        <w:p w14:paraId="02262580" w14:textId="77777777" w:rsidR="00FC1F54" w:rsidRPr="00FC1F54" w:rsidRDefault="00FC1F54" w:rsidP="00FC1F54">
          <w:pPr>
            <w:tabs>
              <w:tab w:val="center" w:pos="4536"/>
              <w:tab w:val="right" w:pos="9072"/>
            </w:tabs>
            <w:jc w:val="center"/>
            <w:rPr>
              <w:rFonts w:ascii="Bookman Old Style" w:hAnsi="Bookman Old Style"/>
              <w:b/>
              <w:color w:val="808080"/>
              <w:szCs w:val="24"/>
            </w:rPr>
          </w:pPr>
          <w:r>
            <w:rPr>
              <w:rFonts w:ascii="Bookman Old Style" w:hAnsi="Bookman Old Style"/>
              <w:b/>
              <w:color w:val="808080"/>
              <w:szCs w:val="24"/>
            </w:rPr>
            <w:t>Приложение 4</w:t>
          </w:r>
          <w:r>
            <w:rPr>
              <w:rFonts w:ascii="Bookman Old Style" w:hAnsi="Bookman Old Style"/>
              <w:b/>
              <w:color w:val="808080"/>
              <w:szCs w:val="24"/>
              <w:lang w:val="en-US"/>
            </w:rPr>
            <w:t xml:space="preserve"> </w:t>
          </w:r>
          <w:r>
            <w:rPr>
              <w:rFonts w:ascii="Bookman Old Style" w:hAnsi="Bookman Old Style"/>
              <w:b/>
              <w:color w:val="808080"/>
              <w:szCs w:val="24"/>
            </w:rPr>
            <w:t>П</w:t>
          </w:r>
          <w:proofErr w:type="spellStart"/>
          <w:r w:rsidRPr="00B0408B">
            <w:rPr>
              <w:rFonts w:ascii="Bookman Old Style" w:hAnsi="Bookman Old Style"/>
              <w:b/>
              <w:color w:val="808080"/>
              <w:szCs w:val="24"/>
              <w:lang w:val="en-US"/>
            </w:rPr>
            <w:t>редварителен</w:t>
          </w:r>
          <w:proofErr w:type="spellEnd"/>
          <w:r w:rsidRPr="00B0408B">
            <w:rPr>
              <w:rFonts w:ascii="Bookman Old Style" w:hAnsi="Bookman Old Style"/>
              <w:b/>
              <w:color w:val="808080"/>
              <w:szCs w:val="24"/>
              <w:lang w:val="en-US"/>
            </w:rPr>
            <w:t xml:space="preserve"> </w:t>
          </w:r>
          <w:r>
            <w:rPr>
              <w:rFonts w:ascii="Bookman Old Style" w:hAnsi="Bookman Old Style"/>
              <w:b/>
              <w:color w:val="808080"/>
              <w:szCs w:val="24"/>
            </w:rPr>
            <w:t xml:space="preserve">и последващ </w:t>
          </w:r>
          <w:proofErr w:type="spellStart"/>
          <w:r w:rsidRPr="00B0408B">
            <w:rPr>
              <w:rFonts w:ascii="Bookman Old Style" w:hAnsi="Bookman Old Style"/>
              <w:b/>
              <w:color w:val="808080"/>
              <w:szCs w:val="24"/>
              <w:lang w:val="en-US"/>
            </w:rPr>
            <w:t>контрол</w:t>
          </w:r>
          <w:proofErr w:type="spellEnd"/>
          <w:r w:rsidRPr="00B0408B">
            <w:rPr>
              <w:rFonts w:ascii="Bookman Old Style" w:hAnsi="Bookman Old Style"/>
              <w:b/>
              <w:color w:val="808080"/>
              <w:szCs w:val="24"/>
              <w:lang w:val="en-US"/>
            </w:rPr>
            <w:t xml:space="preserve"> </w:t>
          </w:r>
          <w:r>
            <w:rPr>
              <w:rFonts w:ascii="Bookman Old Style" w:hAnsi="Bookman Old Style"/>
              <w:b/>
              <w:color w:val="808080"/>
              <w:szCs w:val="24"/>
            </w:rPr>
            <w:t>на процедури за обществени поръчки</w:t>
          </w:r>
        </w:p>
      </w:tc>
      <w:tc>
        <w:tcPr>
          <w:tcW w:w="1939" w:type="dxa"/>
          <w:tcBorders>
            <w:top w:val="single" w:sz="4" w:space="0" w:color="auto"/>
            <w:left w:val="single" w:sz="4" w:space="0" w:color="auto"/>
            <w:bottom w:val="single" w:sz="6" w:space="0" w:color="auto"/>
            <w:right w:val="single" w:sz="4" w:space="0" w:color="auto"/>
          </w:tcBorders>
          <w:shd w:val="clear" w:color="auto" w:fill="E6E6E6"/>
          <w:vAlign w:val="center"/>
          <w:hideMark/>
        </w:tcPr>
        <w:p w14:paraId="0C795201" w14:textId="77777777" w:rsidR="00FC1F54" w:rsidRDefault="00FC1F54" w:rsidP="00FC1F54">
          <w:pPr>
            <w:pStyle w:val="Footer"/>
            <w:spacing w:line="256" w:lineRule="auto"/>
            <w:jc w:val="center"/>
            <w:rPr>
              <w:rFonts w:ascii="Bookman Old Style" w:hAnsi="Bookman Old Style"/>
              <w:b/>
              <w:color w:val="808080"/>
              <w:sz w:val="28"/>
              <w:szCs w:val="28"/>
              <w:lang w:eastAsia="bg-BG"/>
            </w:rPr>
          </w:pPr>
          <w:r>
            <w:rPr>
              <w:rFonts w:ascii="Bookman Old Style" w:hAnsi="Bookman Old Style"/>
              <w:b/>
              <w:color w:val="808080"/>
              <w:sz w:val="18"/>
              <w:szCs w:val="18"/>
            </w:rPr>
            <w:t xml:space="preserve">Раздел </w:t>
          </w:r>
        </w:p>
      </w:tc>
    </w:tr>
    <w:tr w:rsidR="006B0EEB" w14:paraId="24866AFC" w14:textId="77777777" w:rsidTr="00625240">
      <w:trPr>
        <w:trHeight w:val="272"/>
      </w:trPr>
      <w:tc>
        <w:tcPr>
          <w:tcW w:w="3828" w:type="dxa"/>
          <w:tcBorders>
            <w:top w:val="single" w:sz="6" w:space="0" w:color="auto"/>
            <w:left w:val="single" w:sz="4" w:space="0" w:color="auto"/>
            <w:bottom w:val="single" w:sz="4" w:space="0" w:color="auto"/>
            <w:right w:val="single" w:sz="6" w:space="0" w:color="auto"/>
          </w:tcBorders>
          <w:vAlign w:val="center"/>
          <w:hideMark/>
        </w:tcPr>
        <w:p w14:paraId="644BFB93" w14:textId="77777777" w:rsidR="006B0EEB" w:rsidRDefault="006B0EEB" w:rsidP="00FC1F54">
          <w:pPr>
            <w:jc w:val="center"/>
            <w:rPr>
              <w:rFonts w:ascii="Bookman Old Style" w:hAnsi="Bookman Old Style"/>
              <w:b/>
              <w:color w:val="808080"/>
              <w:sz w:val="18"/>
              <w:szCs w:val="18"/>
            </w:rPr>
          </w:pPr>
          <w:r>
            <w:rPr>
              <w:rFonts w:ascii="Bookman Old Style" w:hAnsi="Bookman Old Style"/>
              <w:b/>
              <w:color w:val="808080"/>
              <w:sz w:val="18"/>
              <w:szCs w:val="18"/>
            </w:rPr>
            <w:t>Механизъм за възстановяване и устойчивост</w:t>
          </w:r>
        </w:p>
      </w:tc>
      <w:tc>
        <w:tcPr>
          <w:tcW w:w="4483" w:type="dxa"/>
          <w:tcBorders>
            <w:top w:val="single" w:sz="6" w:space="0" w:color="auto"/>
            <w:left w:val="single" w:sz="6" w:space="0" w:color="auto"/>
            <w:bottom w:val="single" w:sz="4" w:space="0" w:color="auto"/>
            <w:right w:val="single" w:sz="6" w:space="0" w:color="auto"/>
          </w:tcBorders>
          <w:vAlign w:val="center"/>
          <w:hideMark/>
        </w:tcPr>
        <w:p w14:paraId="46813E39" w14:textId="39B6E614" w:rsidR="006B0EEB" w:rsidRDefault="006B0EEB" w:rsidP="009D1BBF">
          <w:pPr>
            <w:jc w:val="center"/>
            <w:rPr>
              <w:rFonts w:ascii="Bookman Old Style" w:hAnsi="Bookman Old Style"/>
              <w:b/>
              <w:color w:val="808080"/>
              <w:sz w:val="18"/>
              <w:szCs w:val="18"/>
            </w:rPr>
          </w:pPr>
          <w:r>
            <w:rPr>
              <w:rFonts w:ascii="Bookman Old Style" w:hAnsi="Bookman Old Style"/>
              <w:b/>
              <w:color w:val="808080"/>
              <w:sz w:val="18"/>
              <w:szCs w:val="18"/>
            </w:rPr>
            <w:t>Версия: 2</w:t>
          </w:r>
        </w:p>
      </w:tc>
      <w:tc>
        <w:tcPr>
          <w:tcW w:w="1998" w:type="dxa"/>
          <w:tcBorders>
            <w:top w:val="single" w:sz="6" w:space="0" w:color="auto"/>
            <w:left w:val="single" w:sz="6" w:space="0" w:color="auto"/>
            <w:bottom w:val="single" w:sz="4" w:space="0" w:color="auto"/>
            <w:right w:val="single" w:sz="4" w:space="0" w:color="auto"/>
          </w:tcBorders>
          <w:vAlign w:val="center"/>
          <w:hideMark/>
        </w:tcPr>
        <w:p w14:paraId="673CDA0F" w14:textId="1CE38276" w:rsidR="006B0EEB" w:rsidRDefault="006B0EEB" w:rsidP="00FC1F54">
          <w:pPr>
            <w:pStyle w:val="Footer"/>
            <w:spacing w:line="256" w:lineRule="auto"/>
            <w:jc w:val="center"/>
            <w:rPr>
              <w:rFonts w:ascii="Bookman Old Style" w:hAnsi="Bookman Old Style"/>
              <w:b/>
              <w:color w:val="808080"/>
              <w:sz w:val="18"/>
            </w:rPr>
          </w:pPr>
          <w:r>
            <w:rPr>
              <w:rFonts w:ascii="Bookman Old Style" w:hAnsi="Bookman Old Style"/>
              <w:b/>
              <w:color w:val="808080"/>
              <w:sz w:val="18"/>
            </w:rPr>
            <w:t>Стр.:</w:t>
          </w:r>
          <w:r>
            <w:rPr>
              <w:rFonts w:ascii="Bookman Old Style" w:hAnsi="Bookman Old Style"/>
              <w:b/>
              <w:color w:val="808080"/>
              <w:sz w:val="18"/>
            </w:rPr>
            <w:fldChar w:fldCharType="begin"/>
          </w:r>
          <w:r>
            <w:rPr>
              <w:rFonts w:ascii="Bookman Old Style" w:hAnsi="Bookman Old Style"/>
              <w:b/>
              <w:color w:val="808080"/>
              <w:sz w:val="18"/>
            </w:rPr>
            <w:instrText xml:space="preserve"> PAGE </w:instrText>
          </w:r>
          <w:r>
            <w:rPr>
              <w:rFonts w:ascii="Bookman Old Style" w:hAnsi="Bookman Old Style"/>
              <w:b/>
              <w:color w:val="808080"/>
              <w:sz w:val="18"/>
            </w:rPr>
            <w:fldChar w:fldCharType="separate"/>
          </w:r>
          <w:r w:rsidR="00B40B2B">
            <w:rPr>
              <w:rFonts w:ascii="Bookman Old Style" w:hAnsi="Bookman Old Style"/>
              <w:b/>
              <w:noProof/>
              <w:color w:val="808080"/>
              <w:sz w:val="18"/>
            </w:rPr>
            <w:t>4</w:t>
          </w:r>
          <w:r>
            <w:rPr>
              <w:rFonts w:ascii="Bookman Old Style" w:hAnsi="Bookman Old Style"/>
              <w:b/>
              <w:color w:val="808080"/>
              <w:sz w:val="18"/>
            </w:rPr>
            <w:fldChar w:fldCharType="end"/>
          </w:r>
          <w:r>
            <w:rPr>
              <w:rFonts w:ascii="Bookman Old Style" w:hAnsi="Bookman Old Style"/>
              <w:b/>
              <w:color w:val="808080"/>
              <w:sz w:val="18"/>
            </w:rPr>
            <w:t>/</w:t>
          </w:r>
          <w:r>
            <w:rPr>
              <w:rFonts w:ascii="Bookman Old Style" w:hAnsi="Bookman Old Style"/>
              <w:b/>
              <w:color w:val="808080"/>
              <w:sz w:val="18"/>
            </w:rPr>
            <w:fldChar w:fldCharType="begin"/>
          </w:r>
          <w:r>
            <w:rPr>
              <w:rFonts w:ascii="Bookman Old Style" w:hAnsi="Bookman Old Style"/>
              <w:b/>
              <w:color w:val="808080"/>
              <w:sz w:val="18"/>
            </w:rPr>
            <w:instrText xml:space="preserve"> NUMPAGES </w:instrText>
          </w:r>
          <w:r>
            <w:rPr>
              <w:rFonts w:ascii="Bookman Old Style" w:hAnsi="Bookman Old Style"/>
              <w:b/>
              <w:color w:val="808080"/>
              <w:sz w:val="18"/>
            </w:rPr>
            <w:fldChar w:fldCharType="separate"/>
          </w:r>
          <w:r w:rsidR="00B40B2B">
            <w:rPr>
              <w:rFonts w:ascii="Bookman Old Style" w:hAnsi="Bookman Old Style"/>
              <w:b/>
              <w:noProof/>
              <w:color w:val="808080"/>
              <w:sz w:val="18"/>
            </w:rPr>
            <w:t>4</w:t>
          </w:r>
          <w:r>
            <w:rPr>
              <w:rFonts w:ascii="Bookman Old Style" w:hAnsi="Bookman Old Style"/>
              <w:b/>
              <w:color w:val="808080"/>
              <w:sz w:val="18"/>
            </w:rPr>
            <w:fldChar w:fldCharType="end"/>
          </w:r>
        </w:p>
      </w:tc>
    </w:tr>
  </w:tbl>
  <w:p w14:paraId="53C310D9" w14:textId="77777777" w:rsidR="00FC1F54" w:rsidRDefault="00FC1F5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DC83C" w14:textId="77777777" w:rsidR="009D1BBF" w:rsidRDefault="009D1BB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5116C"/>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1" w15:restartNumberingAfterBreak="0">
    <w:nsid w:val="15256D05"/>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2" w15:restartNumberingAfterBreak="0">
    <w:nsid w:val="2F354B92"/>
    <w:multiLevelType w:val="hybridMultilevel"/>
    <w:tmpl w:val="E85A694E"/>
    <w:lvl w:ilvl="0" w:tplc="0402000D">
      <w:start w:val="1"/>
      <w:numFmt w:val="bullet"/>
      <w:lvlText w:val=""/>
      <w:lvlJc w:val="left"/>
      <w:pPr>
        <w:ind w:left="1434" w:hanging="360"/>
      </w:pPr>
      <w:rPr>
        <w:rFonts w:ascii="Wingdings" w:hAnsi="Wingdings"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3" w15:restartNumberingAfterBreak="0">
    <w:nsid w:val="7BFE1364"/>
    <w:multiLevelType w:val="hybridMultilevel"/>
    <w:tmpl w:val="6CF4322C"/>
    <w:lvl w:ilvl="0" w:tplc="9906EFC6">
      <w:start w:val="1"/>
      <mc:AlternateContent>
        <mc:Choice Requires="w14">
          <w:numFmt w:val="custom" w:format="а, й, к, ..."/>
        </mc:Choice>
        <mc:Fallback>
          <w:numFmt w:val="decimal"/>
        </mc:Fallback>
      </mc:AlternateContent>
      <w:lvlText w:val="%1)"/>
      <w:lvlJc w:val="left"/>
      <w:pPr>
        <w:tabs>
          <w:tab w:val="num" w:pos="1070"/>
        </w:tabs>
        <w:ind w:left="1070" w:hanging="360"/>
      </w:pPr>
      <w:rPr>
        <w:rFonts w:hint="default"/>
      </w:rPr>
    </w:lvl>
    <w:lvl w:ilvl="1" w:tplc="0402000D">
      <w:start w:val="1"/>
      <w:numFmt w:val="bullet"/>
      <w:lvlText w:val=""/>
      <w:lvlJc w:val="left"/>
      <w:pPr>
        <w:tabs>
          <w:tab w:val="num" w:pos="1080"/>
        </w:tabs>
        <w:ind w:left="1080" w:hanging="360"/>
      </w:pPr>
      <w:rPr>
        <w:rFonts w:ascii="Wingdings" w:hAnsi="Wingding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B65"/>
    <w:rsid w:val="000720F5"/>
    <w:rsid w:val="00075A14"/>
    <w:rsid w:val="00120979"/>
    <w:rsid w:val="00190F43"/>
    <w:rsid w:val="0019454E"/>
    <w:rsid w:val="00235B11"/>
    <w:rsid w:val="002509E9"/>
    <w:rsid w:val="0026578D"/>
    <w:rsid w:val="00271704"/>
    <w:rsid w:val="0029591B"/>
    <w:rsid w:val="002C09AA"/>
    <w:rsid w:val="002D51EB"/>
    <w:rsid w:val="00320934"/>
    <w:rsid w:val="003271D7"/>
    <w:rsid w:val="003574FF"/>
    <w:rsid w:val="003854F0"/>
    <w:rsid w:val="003A11C0"/>
    <w:rsid w:val="004021E7"/>
    <w:rsid w:val="00495218"/>
    <w:rsid w:val="004B2EB7"/>
    <w:rsid w:val="004F1530"/>
    <w:rsid w:val="0050005D"/>
    <w:rsid w:val="005502DF"/>
    <w:rsid w:val="00583637"/>
    <w:rsid w:val="005C1464"/>
    <w:rsid w:val="006051A0"/>
    <w:rsid w:val="00673DF6"/>
    <w:rsid w:val="006770D1"/>
    <w:rsid w:val="006B0EEB"/>
    <w:rsid w:val="007428B6"/>
    <w:rsid w:val="00753F63"/>
    <w:rsid w:val="007658D0"/>
    <w:rsid w:val="007A3223"/>
    <w:rsid w:val="007A4151"/>
    <w:rsid w:val="007B05CC"/>
    <w:rsid w:val="008304DD"/>
    <w:rsid w:val="0085367C"/>
    <w:rsid w:val="00860883"/>
    <w:rsid w:val="008E4B6D"/>
    <w:rsid w:val="008E6149"/>
    <w:rsid w:val="009122EC"/>
    <w:rsid w:val="00992959"/>
    <w:rsid w:val="009D07E3"/>
    <w:rsid w:val="009D1BBF"/>
    <w:rsid w:val="009E3B65"/>
    <w:rsid w:val="00A130D2"/>
    <w:rsid w:val="00A31189"/>
    <w:rsid w:val="00AD0D2C"/>
    <w:rsid w:val="00B02E7C"/>
    <w:rsid w:val="00B32E25"/>
    <w:rsid w:val="00B40B2B"/>
    <w:rsid w:val="00B9621A"/>
    <w:rsid w:val="00BA0D1C"/>
    <w:rsid w:val="00BE0352"/>
    <w:rsid w:val="00C82470"/>
    <w:rsid w:val="00C82B5D"/>
    <w:rsid w:val="00CE3EFF"/>
    <w:rsid w:val="00CF3AB9"/>
    <w:rsid w:val="00D74361"/>
    <w:rsid w:val="00DA01B1"/>
    <w:rsid w:val="00DB1742"/>
    <w:rsid w:val="00DB1C15"/>
    <w:rsid w:val="00E23DF2"/>
    <w:rsid w:val="00E257E3"/>
    <w:rsid w:val="00ED1F4F"/>
    <w:rsid w:val="00F355A7"/>
    <w:rsid w:val="00F62964"/>
    <w:rsid w:val="00FA5FBD"/>
    <w:rsid w:val="00FC1F54"/>
    <w:rsid w:val="00FC6CAB"/>
    <w:rsid w:val="00FE356D"/>
    <w:rsid w:val="00FE757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F9EE4"/>
  <w15:chartTrackingRefBased/>
  <w15:docId w15:val="{11477D5D-BEBD-4EE8-B497-73DA293CB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2">
    <w:name w:val="Table Grid22"/>
    <w:basedOn w:val="TableNormal"/>
    <w:next w:val="TableGrid"/>
    <w:rsid w:val="009E3B6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E3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9E3B6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B05CC"/>
    <w:rPr>
      <w:sz w:val="16"/>
      <w:szCs w:val="16"/>
    </w:rPr>
  </w:style>
  <w:style w:type="paragraph" w:styleId="CommentText">
    <w:name w:val="annotation text"/>
    <w:basedOn w:val="Normal"/>
    <w:link w:val="CommentTextChar"/>
    <w:uiPriority w:val="99"/>
    <w:semiHidden/>
    <w:unhideWhenUsed/>
    <w:rsid w:val="007B05CC"/>
    <w:pPr>
      <w:spacing w:line="240" w:lineRule="auto"/>
    </w:pPr>
    <w:rPr>
      <w:sz w:val="20"/>
      <w:szCs w:val="20"/>
    </w:rPr>
  </w:style>
  <w:style w:type="character" w:customStyle="1" w:styleId="CommentTextChar">
    <w:name w:val="Comment Text Char"/>
    <w:basedOn w:val="DefaultParagraphFont"/>
    <w:link w:val="CommentText"/>
    <w:uiPriority w:val="99"/>
    <w:semiHidden/>
    <w:rsid w:val="007B05CC"/>
    <w:rPr>
      <w:sz w:val="20"/>
      <w:szCs w:val="20"/>
    </w:rPr>
  </w:style>
  <w:style w:type="paragraph" w:styleId="CommentSubject">
    <w:name w:val="annotation subject"/>
    <w:basedOn w:val="CommentText"/>
    <w:next w:val="CommentText"/>
    <w:link w:val="CommentSubjectChar"/>
    <w:uiPriority w:val="99"/>
    <w:semiHidden/>
    <w:unhideWhenUsed/>
    <w:rsid w:val="007B05CC"/>
    <w:rPr>
      <w:b/>
      <w:bCs/>
    </w:rPr>
  </w:style>
  <w:style w:type="character" w:customStyle="1" w:styleId="CommentSubjectChar">
    <w:name w:val="Comment Subject Char"/>
    <w:basedOn w:val="CommentTextChar"/>
    <w:link w:val="CommentSubject"/>
    <w:uiPriority w:val="99"/>
    <w:semiHidden/>
    <w:rsid w:val="007B05CC"/>
    <w:rPr>
      <w:b/>
      <w:bCs/>
      <w:sz w:val="20"/>
      <w:szCs w:val="20"/>
    </w:rPr>
  </w:style>
  <w:style w:type="paragraph" w:styleId="BalloonText">
    <w:name w:val="Balloon Text"/>
    <w:basedOn w:val="Normal"/>
    <w:link w:val="BalloonTextChar"/>
    <w:uiPriority w:val="99"/>
    <w:semiHidden/>
    <w:unhideWhenUsed/>
    <w:rsid w:val="007B05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05CC"/>
    <w:rPr>
      <w:rFonts w:ascii="Segoe UI" w:hAnsi="Segoe UI" w:cs="Segoe UI"/>
      <w:sz w:val="18"/>
      <w:szCs w:val="18"/>
    </w:rPr>
  </w:style>
  <w:style w:type="paragraph" w:styleId="ListParagraph">
    <w:name w:val="List Paragraph"/>
    <w:basedOn w:val="Normal"/>
    <w:uiPriority w:val="34"/>
    <w:qFormat/>
    <w:rsid w:val="006051A0"/>
    <w:pPr>
      <w:ind w:left="720"/>
      <w:contextualSpacing/>
    </w:pPr>
  </w:style>
  <w:style w:type="paragraph" w:styleId="Header">
    <w:name w:val="header"/>
    <w:basedOn w:val="Normal"/>
    <w:link w:val="HeaderChar"/>
    <w:uiPriority w:val="99"/>
    <w:unhideWhenUsed/>
    <w:rsid w:val="00FC1F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1F54"/>
  </w:style>
  <w:style w:type="paragraph" w:styleId="Footer">
    <w:name w:val="footer"/>
    <w:basedOn w:val="Normal"/>
    <w:link w:val="FooterChar"/>
    <w:uiPriority w:val="99"/>
    <w:unhideWhenUsed/>
    <w:rsid w:val="00FC1F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1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98373">
      <w:bodyDiv w:val="1"/>
      <w:marLeft w:val="0"/>
      <w:marRight w:val="0"/>
      <w:marTop w:val="0"/>
      <w:marBottom w:val="0"/>
      <w:divBdr>
        <w:top w:val="none" w:sz="0" w:space="0" w:color="auto"/>
        <w:left w:val="none" w:sz="0" w:space="0" w:color="auto"/>
        <w:bottom w:val="none" w:sz="0" w:space="0" w:color="auto"/>
        <w:right w:val="none" w:sz="0" w:space="0" w:color="auto"/>
      </w:divBdr>
    </w:div>
    <w:div w:id="95212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Драгиева</dc:creator>
  <cp:keywords/>
  <dc:description/>
  <cp:lastModifiedBy>Мария Драгиева</cp:lastModifiedBy>
  <cp:revision>3</cp:revision>
  <dcterms:created xsi:type="dcterms:W3CDTF">2024-09-24T13:15:00Z</dcterms:created>
  <dcterms:modified xsi:type="dcterms:W3CDTF">2024-09-24T13:20:00Z</dcterms:modified>
</cp:coreProperties>
</file>